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45ADD2" w14:textId="18FB0B5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#96</w:t>
      </w:r>
      <w:r w:rsidR="00A42D03">
        <w:rPr>
          <w:rFonts w:cs="Arial"/>
          <w:bCs/>
          <w:sz w:val="20"/>
        </w:rPr>
        <w:t>bis</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CA6E55" w:rsidRPr="00CA6E55">
        <w:rPr>
          <w:rFonts w:hint="eastAsia"/>
        </w:rPr>
        <w:t xml:space="preserve"> </w:t>
      </w:r>
      <w:r w:rsidR="00CA6E55">
        <w:rPr>
          <w:rFonts w:hint="eastAsia"/>
        </w:rPr>
        <w:t>1904599</w:t>
      </w:r>
    </w:p>
    <w:p w14:paraId="552A328C" w14:textId="29C7D563" w:rsidR="00941D27" w:rsidRPr="0093682F" w:rsidRDefault="00A42D03" w:rsidP="00941D27">
      <w:pPr>
        <w:pStyle w:val="TdocHeader2"/>
        <w:jc w:val="left"/>
        <w:rPr>
          <w:rFonts w:eastAsiaTheme="minorEastAsia"/>
          <w:lang w:val="en-US"/>
        </w:rPr>
      </w:pPr>
      <w:r>
        <w:rPr>
          <w:rFonts w:eastAsia="ＭＳ 明朝" w:cs="Arial"/>
          <w:bCs/>
          <w:sz w:val="20"/>
          <w:lang w:val="en-US" w:eastAsia="ja-JP"/>
        </w:rPr>
        <w:t>Xi’an</w:t>
      </w:r>
      <w:r w:rsidR="00F42024">
        <w:rPr>
          <w:rFonts w:eastAsia="ＭＳ 明朝" w:cs="Arial"/>
          <w:bCs/>
          <w:sz w:val="20"/>
          <w:lang w:val="en-US" w:eastAsia="ja-JP"/>
        </w:rPr>
        <w:t xml:space="preserve">, </w:t>
      </w:r>
      <w:r>
        <w:rPr>
          <w:rFonts w:eastAsia="ＭＳ 明朝" w:cs="Arial"/>
          <w:bCs/>
          <w:sz w:val="20"/>
          <w:lang w:val="en-US" w:eastAsia="ja-JP"/>
        </w:rPr>
        <w:t>China</w:t>
      </w:r>
      <w:r w:rsidR="00F42024">
        <w:rPr>
          <w:rFonts w:eastAsia="ＭＳ 明朝" w:cs="Arial"/>
          <w:bCs/>
          <w:sz w:val="20"/>
          <w:lang w:val="en-US" w:eastAsia="ja-JP"/>
        </w:rPr>
        <w:t xml:space="preserve">, </w:t>
      </w:r>
      <w:r>
        <w:rPr>
          <w:rFonts w:eastAsia="ＭＳ 明朝" w:cs="Arial"/>
          <w:bCs/>
          <w:sz w:val="20"/>
          <w:lang w:val="en-US" w:eastAsia="ja-JP"/>
        </w:rPr>
        <w:t>8</w:t>
      </w:r>
      <w:r w:rsidR="00F42024" w:rsidRPr="00F42024">
        <w:rPr>
          <w:rFonts w:eastAsia="ＭＳ 明朝" w:cs="Arial"/>
          <w:bCs/>
          <w:sz w:val="20"/>
          <w:vertAlign w:val="superscript"/>
          <w:lang w:val="en-US" w:eastAsia="ja-JP"/>
        </w:rPr>
        <w:t>th</w:t>
      </w:r>
      <w:r w:rsidR="00F42024">
        <w:rPr>
          <w:rFonts w:eastAsia="ＭＳ 明朝" w:cs="Arial"/>
          <w:bCs/>
          <w:sz w:val="20"/>
          <w:lang w:val="en-US" w:eastAsia="ja-JP"/>
        </w:rPr>
        <w:t xml:space="preserve"> </w:t>
      </w:r>
      <w:r>
        <w:rPr>
          <w:rFonts w:eastAsia="ＭＳ 明朝" w:cs="Arial"/>
          <w:bCs/>
          <w:sz w:val="20"/>
          <w:lang w:val="en-US" w:eastAsia="ja-JP"/>
        </w:rPr>
        <w:t>April</w:t>
      </w:r>
      <w:r w:rsidR="00F42024">
        <w:rPr>
          <w:rFonts w:eastAsia="ＭＳ 明朝" w:cs="Arial"/>
          <w:bCs/>
          <w:sz w:val="20"/>
          <w:lang w:val="en-US" w:eastAsia="ja-JP"/>
        </w:rPr>
        <w:t xml:space="preserve"> – 1</w:t>
      </w:r>
      <w:r>
        <w:rPr>
          <w:rFonts w:eastAsia="ＭＳ 明朝" w:cs="Arial"/>
          <w:bCs/>
          <w:sz w:val="20"/>
          <w:lang w:val="en-US" w:eastAsia="ja-JP"/>
        </w:rPr>
        <w:t>2</w:t>
      </w:r>
      <w:r w:rsidRPr="00A42D03">
        <w:rPr>
          <w:rFonts w:eastAsia="ＭＳ 明朝" w:cs="Arial"/>
          <w:bCs/>
          <w:sz w:val="20"/>
          <w:vertAlign w:val="superscript"/>
          <w:lang w:val="en-US" w:eastAsia="ja-JP"/>
        </w:rPr>
        <w:t>th</w:t>
      </w:r>
      <w:r>
        <w:rPr>
          <w:rFonts w:eastAsia="ＭＳ 明朝" w:cs="Arial"/>
          <w:bCs/>
          <w:sz w:val="20"/>
          <w:lang w:val="en-US" w:eastAsia="ja-JP"/>
        </w:rPr>
        <w:t xml:space="preserve"> April</w:t>
      </w:r>
      <w:r w:rsidR="00DE7D0C">
        <w:rPr>
          <w:rFonts w:eastAsia="ＭＳ 明朝" w:cs="Arial"/>
          <w:bCs/>
          <w:sz w:val="20"/>
          <w:lang w:val="en-US" w:eastAsia="ja-JP"/>
        </w:rPr>
        <w:t xml:space="preserve"> 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6BFC9A1D" w:rsidR="009A5FE2" w:rsidRDefault="009544E3" w:rsidP="005F28B0">
      <w:pPr>
        <w:pStyle w:val="aff1"/>
        <w:numPr>
          <w:ilvl w:val="0"/>
          <w:numId w:val="31"/>
        </w:numPr>
        <w:ind w:leftChars="0"/>
        <w:rPr>
          <w:lang w:eastAsia="ja-JP"/>
        </w:rPr>
      </w:pPr>
      <w:r>
        <w:rPr>
          <w:lang w:eastAsia="ja-JP"/>
        </w:rPr>
        <w:t xml:space="preserve">HARQ codebook size determination </w:t>
      </w:r>
    </w:p>
    <w:p w14:paraId="593E6802" w14:textId="6C4444BA" w:rsidR="005F28B0" w:rsidRDefault="009544E3" w:rsidP="005F28B0">
      <w:pPr>
        <w:pStyle w:val="aff1"/>
        <w:numPr>
          <w:ilvl w:val="0"/>
          <w:numId w:val="31"/>
        </w:numPr>
        <w:ind w:leftChars="0"/>
        <w:rPr>
          <w:lang w:eastAsia="ja-JP"/>
        </w:rPr>
      </w:pPr>
      <w:r>
        <w:rPr>
          <w:lang w:eastAsia="ja-JP"/>
        </w:rPr>
        <w:t>Additional HARQ-ACK transmission opportunities</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1CF0E468" w14:textId="68D31A0F" w:rsidR="00F86F62" w:rsidRPr="00F86F62" w:rsidRDefault="00073A48" w:rsidP="001B17D7">
      <w:pPr>
        <w:rPr>
          <w:lang w:eastAsia="ja-JP"/>
        </w:rPr>
      </w:pPr>
      <w:r>
        <w:rPr>
          <w:lang w:eastAsia="ja-JP"/>
        </w:rPr>
        <w:t>The related agreements are quoted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00F6CA76" w14:textId="77777777" w:rsidR="00327021" w:rsidRPr="00245C67" w:rsidRDefault="00327021" w:rsidP="00327021">
      <w:pPr>
        <w:pStyle w:val="2"/>
        <w:rPr>
          <w:lang w:val="en-US" w:eastAsia="ja-JP"/>
        </w:rPr>
      </w:pPr>
      <w:r w:rsidRPr="00245C67">
        <w:rPr>
          <w:rFonts w:hint="eastAsia"/>
          <w:lang w:val="en-US" w:eastAsia="ja-JP"/>
        </w:rPr>
        <w:t>HARQ codebook size determination</w:t>
      </w:r>
    </w:p>
    <w:p w14:paraId="16C1C432" w14:textId="01091F35" w:rsidR="00327021" w:rsidRDefault="00327021" w:rsidP="00327021">
      <w:pPr>
        <w:rPr>
          <w:lang w:val="en-US" w:eastAsia="ja-JP"/>
        </w:rPr>
      </w:pPr>
      <w:r>
        <w:rPr>
          <w:lang w:val="en-US" w:eastAsia="ja-JP"/>
        </w:rPr>
        <w:t>I</w:t>
      </w:r>
      <w:r>
        <w:rPr>
          <w:rFonts w:hint="eastAsia"/>
          <w:lang w:val="en-US" w:eastAsia="ja-JP"/>
        </w:rPr>
        <w:t xml:space="preserve">n </w:t>
      </w:r>
      <w:r>
        <w:rPr>
          <w:lang w:val="en-US" w:eastAsia="ja-JP"/>
        </w:rPr>
        <w:t xml:space="preserve">licensed band NR, two types of HARQ codebook size determination are supported: semi-static and dynamic. For semi-static codebook size determination, the codebook size is determined based on the maximum number of TBs (and CBGs) across cells and PDCCH monitoring occasions in time. More bits for the feedback would be needed. How to determine "PDCCH monitoring occasions in time" needs to be discussed on the relation to COT. For dynamic codebook size determination, the codebook size is determined based on the actual number of received DCIs pointing to the same ACK slot. This needs less bits for the feedback than semi-static one and more aligned of the codebook size understanding between gNB and UE by the signaling in DCI. </w:t>
      </w:r>
      <w:r w:rsidRPr="00EE375A">
        <w:rPr>
          <w:lang w:val="en-US" w:eastAsia="ja-JP"/>
        </w:rPr>
        <w:t xml:space="preserve">DCI payload size increase by DAI is based on log(n) order but HARQ-ACK bits increase is based on </w:t>
      </w:r>
      <w:proofErr w:type="spellStart"/>
      <w:r>
        <w:rPr>
          <w:lang w:val="en-US" w:eastAsia="ja-JP"/>
        </w:rPr>
        <w:t>n</w:t>
      </w:r>
      <w:proofErr w:type="spellEnd"/>
      <w:r w:rsidRPr="00EE375A">
        <w:rPr>
          <w:lang w:val="en-US" w:eastAsia="ja-JP"/>
        </w:rPr>
        <w:t xml:space="preserve"> order</w:t>
      </w:r>
      <w:r>
        <w:rPr>
          <w:lang w:val="en-US" w:eastAsia="ja-JP"/>
        </w:rPr>
        <w:t xml:space="preserve"> of actual transmission. Therefore, the signa</w:t>
      </w:r>
      <w:r w:rsidRPr="00EE375A">
        <w:rPr>
          <w:lang w:val="en-US" w:eastAsia="ja-JP"/>
        </w:rPr>
        <w:t>ling overhead b</w:t>
      </w:r>
      <w:r>
        <w:rPr>
          <w:lang w:val="en-US" w:eastAsia="ja-JP"/>
        </w:rPr>
        <w:t>y DAI is smaller than the signa</w:t>
      </w:r>
      <w:r w:rsidRPr="00EE375A">
        <w:rPr>
          <w:lang w:val="en-US" w:eastAsia="ja-JP"/>
        </w:rPr>
        <w:t>ling overhead by linear increase of HARQ-ACK bits</w:t>
      </w:r>
      <w:r>
        <w:rPr>
          <w:lang w:val="en-US" w:eastAsia="ja-JP"/>
        </w:rPr>
        <w:t xml:space="preserve"> [4]</w:t>
      </w:r>
      <w:r w:rsidRPr="00EE375A">
        <w:rPr>
          <w:lang w:val="en-US" w:eastAsia="ja-JP"/>
        </w:rPr>
        <w:t xml:space="preserve">. </w:t>
      </w:r>
      <w:r>
        <w:rPr>
          <w:lang w:val="en-US" w:eastAsia="ja-JP"/>
        </w:rPr>
        <w:t>Note that DAI should reflect the outcome of LBT as NR-U transmission is influenced by LBT outcome.</w:t>
      </w:r>
      <w:r w:rsidR="00706B12">
        <w:rPr>
          <w:lang w:val="en-US" w:eastAsia="ja-JP"/>
        </w:rPr>
        <w:t xml:space="preserve"> We think how to determine semi-static HARQ codebook size can be very complicated </w:t>
      </w:r>
      <w:r w:rsidR="00401F53">
        <w:rPr>
          <w:lang w:val="en-US" w:eastAsia="ja-JP"/>
        </w:rPr>
        <w:t>or very inefficient as</w:t>
      </w:r>
      <w:r w:rsidR="00706B12">
        <w:rPr>
          <w:lang w:val="en-US" w:eastAsia="ja-JP"/>
        </w:rPr>
        <w:t xml:space="preserve"> some </w:t>
      </w:r>
      <w:r w:rsidR="00401F53">
        <w:rPr>
          <w:lang w:val="en-US" w:eastAsia="ja-JP"/>
        </w:rPr>
        <w:t>of slots are unavailable by LBT. Therefore, we propose only dynamic HARQ codebook size determination is supported.</w:t>
      </w:r>
    </w:p>
    <w:p w14:paraId="1B07E5B1" w14:textId="49996163" w:rsidR="00327021" w:rsidRDefault="00327021" w:rsidP="00327021">
      <w:pPr>
        <w:rPr>
          <w:b/>
          <w:i/>
          <w:lang w:val="en-US" w:eastAsia="ja-JP"/>
        </w:rPr>
      </w:pPr>
      <w:r w:rsidRPr="002611FB">
        <w:rPr>
          <w:b/>
          <w:i/>
          <w:lang w:val="en-US" w:eastAsia="ja-JP"/>
        </w:rPr>
        <w:t>Proposal</w:t>
      </w:r>
      <w:r>
        <w:rPr>
          <w:b/>
          <w:i/>
          <w:lang w:val="en-US" w:eastAsia="ja-JP"/>
        </w:rPr>
        <w:t xml:space="preserve"> </w:t>
      </w:r>
      <w:r w:rsidR="00401F53">
        <w:rPr>
          <w:b/>
          <w:i/>
          <w:lang w:val="en-US" w:eastAsia="ja-JP"/>
        </w:rPr>
        <w:t>1</w:t>
      </w:r>
      <w:r w:rsidRPr="002611FB">
        <w:rPr>
          <w:b/>
          <w:i/>
          <w:lang w:val="en-US" w:eastAsia="ja-JP"/>
        </w:rPr>
        <w:t xml:space="preserve">: </w:t>
      </w:r>
      <w:r w:rsidR="00305DC4">
        <w:rPr>
          <w:b/>
          <w:i/>
          <w:lang w:val="en-US" w:eastAsia="ja-JP"/>
        </w:rPr>
        <w:t>D</w:t>
      </w:r>
      <w:r>
        <w:rPr>
          <w:b/>
          <w:i/>
          <w:lang w:val="en-US" w:eastAsia="ja-JP"/>
        </w:rPr>
        <w:t xml:space="preserve">ynamic </w:t>
      </w:r>
      <w:r w:rsidR="00401F53">
        <w:rPr>
          <w:b/>
          <w:i/>
          <w:lang w:val="en-US" w:eastAsia="ja-JP"/>
        </w:rPr>
        <w:t xml:space="preserve">HARQ </w:t>
      </w:r>
      <w:r>
        <w:rPr>
          <w:b/>
          <w:i/>
          <w:lang w:val="en-US" w:eastAsia="ja-JP"/>
        </w:rPr>
        <w:t xml:space="preserve">codebook size determination </w:t>
      </w:r>
      <w:r w:rsidR="00401F53">
        <w:rPr>
          <w:b/>
          <w:i/>
          <w:lang w:val="en-US" w:eastAsia="ja-JP"/>
        </w:rPr>
        <w:t xml:space="preserve">only </w:t>
      </w:r>
      <w:r>
        <w:rPr>
          <w:b/>
          <w:i/>
          <w:lang w:val="en-US" w:eastAsia="ja-JP"/>
        </w:rPr>
        <w:t>should be supported</w:t>
      </w:r>
      <w:r w:rsidRPr="002611FB">
        <w:rPr>
          <w:b/>
          <w:i/>
          <w:lang w:val="en-US" w:eastAsia="ja-JP"/>
        </w:rPr>
        <w:t xml:space="preserve">. </w:t>
      </w:r>
    </w:p>
    <w:p w14:paraId="337BD205" w14:textId="77777777" w:rsidR="00327021" w:rsidRDefault="00327021" w:rsidP="00327021">
      <w:pPr>
        <w:rPr>
          <w:b/>
          <w:i/>
          <w:lang w:val="en-US" w:eastAsia="ja-JP"/>
        </w:rPr>
      </w:pPr>
    </w:p>
    <w:p w14:paraId="42A798D3" w14:textId="152D0729" w:rsidR="00CF76FD" w:rsidRDefault="009454EF" w:rsidP="00832CAF">
      <w:pPr>
        <w:pStyle w:val="2"/>
        <w:rPr>
          <w:lang w:val="en-US" w:eastAsia="ja-JP"/>
        </w:rPr>
      </w:pPr>
      <w:r>
        <w:rPr>
          <w:rFonts w:hint="eastAsia"/>
          <w:lang w:val="en-US" w:eastAsia="ja-JP"/>
        </w:rPr>
        <w:t>Additional HARQ-ACK transmission opportunities</w:t>
      </w:r>
    </w:p>
    <w:p w14:paraId="6AEDB1FF" w14:textId="35F56C20" w:rsidR="00F22D3F" w:rsidRDefault="00087EE1" w:rsidP="00F22D3F">
      <w:pPr>
        <w:rPr>
          <w:lang w:val="en-US" w:eastAsia="ja-JP"/>
        </w:rPr>
      </w:pPr>
      <w:r>
        <w:rPr>
          <w:lang w:val="en-US" w:eastAsia="ja-JP"/>
        </w:rPr>
        <w:t>In RAN1#94, it has been agreed that HARQ</w:t>
      </w:r>
      <w:r w:rsidR="005A2637">
        <w:rPr>
          <w:lang w:val="en-US" w:eastAsia="ja-JP"/>
        </w:rPr>
        <w:t>-ACK</w:t>
      </w:r>
      <w:r>
        <w:rPr>
          <w:lang w:val="en-US" w:eastAsia="ja-JP"/>
        </w:rPr>
        <w:t xml:space="preserve"> feedback corresponding to PDSCHs of a COT can be reported outside of the COT</w:t>
      </w:r>
      <w:r w:rsidR="00645BCF">
        <w:rPr>
          <w:lang w:val="en-US" w:eastAsia="ja-JP"/>
        </w:rPr>
        <w:t xml:space="preserve">. </w:t>
      </w:r>
      <w:r w:rsidR="00BC14F5">
        <w:rPr>
          <w:lang w:val="en-US" w:eastAsia="ja-JP"/>
        </w:rPr>
        <w:t>This agreement is</w:t>
      </w:r>
      <w:r w:rsidR="00645BCF">
        <w:rPr>
          <w:lang w:val="en-US" w:eastAsia="ja-JP"/>
        </w:rPr>
        <w:t xml:space="preserve"> beneficial </w:t>
      </w:r>
      <w:r w:rsidR="00BC14F5">
        <w:rPr>
          <w:lang w:val="en-US" w:eastAsia="ja-JP"/>
        </w:rPr>
        <w:t>when</w:t>
      </w:r>
      <w:r w:rsidR="00645BCF">
        <w:rPr>
          <w:lang w:val="en-US" w:eastAsia="ja-JP"/>
        </w:rPr>
        <w:t xml:space="preserve"> the feedback </w:t>
      </w:r>
      <w:r w:rsidR="00A868E5">
        <w:rPr>
          <w:lang w:val="en-US" w:eastAsia="ja-JP"/>
        </w:rPr>
        <w:t>is not</w:t>
      </w:r>
      <w:r w:rsidR="00645BCF">
        <w:rPr>
          <w:lang w:val="en-US" w:eastAsia="ja-JP"/>
        </w:rPr>
        <w:t xml:space="preserve"> transmitted due to LBT failure or </w:t>
      </w:r>
      <w:r w:rsidR="00BC14F5">
        <w:rPr>
          <w:lang w:val="en-US" w:eastAsia="ja-JP"/>
        </w:rPr>
        <w:t xml:space="preserve">when the </w:t>
      </w:r>
      <w:r w:rsidR="00645BCF">
        <w:rPr>
          <w:lang w:val="en-US" w:eastAsia="ja-JP"/>
        </w:rPr>
        <w:t xml:space="preserve">processing delay </w:t>
      </w:r>
      <w:r w:rsidR="00BC14F5">
        <w:rPr>
          <w:lang w:val="en-US" w:eastAsia="ja-JP"/>
        </w:rPr>
        <w:t xml:space="preserve">is </w:t>
      </w:r>
      <w:r w:rsidR="00A868E5">
        <w:rPr>
          <w:lang w:val="en-US" w:eastAsia="ja-JP"/>
        </w:rPr>
        <w:t>not</w:t>
      </w:r>
      <w:r w:rsidR="00645BCF">
        <w:rPr>
          <w:lang w:val="en-US" w:eastAsia="ja-JP"/>
        </w:rPr>
        <w:t xml:space="preserve"> sufficient for HARQ</w:t>
      </w:r>
      <w:r w:rsidR="005A2637">
        <w:rPr>
          <w:lang w:val="en-US" w:eastAsia="ja-JP"/>
        </w:rPr>
        <w:t>-ACK</w:t>
      </w:r>
      <w:r w:rsidR="00645BCF">
        <w:rPr>
          <w:lang w:val="en-US" w:eastAsia="ja-JP"/>
        </w:rPr>
        <w:t xml:space="preserve"> reporting in the current COT. </w:t>
      </w:r>
      <w:r w:rsidR="00CD6C25">
        <w:rPr>
          <w:lang w:val="en-US" w:eastAsia="ja-JP"/>
        </w:rPr>
        <w:t xml:space="preserve">For the resource where HARQ-ACK feedback over PUCCH for separated COT should be sent, </w:t>
      </w:r>
      <w:r w:rsidR="00F43F5F">
        <w:rPr>
          <w:lang w:val="en-US" w:eastAsia="ja-JP"/>
        </w:rPr>
        <w:t xml:space="preserve">our view is </w:t>
      </w:r>
      <w:r w:rsidR="00CD6C25">
        <w:rPr>
          <w:lang w:val="en-US" w:eastAsia="ja-JP"/>
        </w:rPr>
        <w:t>it should be in a shared COT, as stated in companion contribution</w:t>
      </w:r>
      <w:r w:rsidR="00E30C58">
        <w:rPr>
          <w:lang w:val="en-US" w:eastAsia="ja-JP"/>
        </w:rPr>
        <w:t xml:space="preserve"> [1]</w:t>
      </w:r>
      <w:r w:rsidR="00CD6C25">
        <w:rPr>
          <w:lang w:val="en-US" w:eastAsia="ja-JP"/>
        </w:rPr>
        <w:t xml:space="preserve">. </w:t>
      </w:r>
      <w:r w:rsidR="00C26221">
        <w:rPr>
          <w:lang w:val="en-US" w:eastAsia="ja-JP"/>
        </w:rPr>
        <w:t xml:space="preserve">In addition, to provide multiple opportunities for HARQ feedback was also identified as beneficial. </w:t>
      </w:r>
      <w:r w:rsidR="00BC14F5">
        <w:rPr>
          <w:lang w:val="en-US" w:eastAsia="ja-JP"/>
        </w:rPr>
        <w:t>T</w:t>
      </w:r>
      <w:r w:rsidR="006F0176">
        <w:rPr>
          <w:lang w:val="en-US" w:eastAsia="ja-JP"/>
        </w:rPr>
        <w:t>he feedback transmission could not always be guaranteed due to PUCCH misdetection and</w:t>
      </w:r>
      <w:r w:rsidR="00BC14F5">
        <w:rPr>
          <w:lang w:val="en-US" w:eastAsia="ja-JP"/>
        </w:rPr>
        <w:t>/or</w:t>
      </w:r>
      <w:r w:rsidR="006F0176">
        <w:rPr>
          <w:lang w:val="en-US" w:eastAsia="ja-JP"/>
        </w:rPr>
        <w:t xml:space="preserve"> LBT failure. </w:t>
      </w:r>
      <w:r w:rsidR="00377477">
        <w:rPr>
          <w:lang w:val="en-US" w:eastAsia="ja-JP"/>
        </w:rPr>
        <w:t xml:space="preserve">Following </w:t>
      </w:r>
      <w:r w:rsidR="006F0176">
        <w:rPr>
          <w:lang w:val="en-US" w:eastAsia="ja-JP"/>
        </w:rPr>
        <w:t xml:space="preserve">five alternatives </w:t>
      </w:r>
      <w:r w:rsidR="00756710">
        <w:rPr>
          <w:lang w:val="en-US" w:eastAsia="ja-JP"/>
        </w:rPr>
        <w:t xml:space="preserve">were listed as candidate solutions </w:t>
      </w:r>
      <w:r w:rsidR="006F0176">
        <w:rPr>
          <w:lang w:val="en-US" w:eastAsia="ja-JP"/>
        </w:rPr>
        <w:t>to allow cross-COT HARQ-ACK feedback and multiple opportunities for HARQ-ACK feedback</w:t>
      </w:r>
      <w:r w:rsidR="004C5C67">
        <w:rPr>
          <w:lang w:val="en-US" w:eastAsia="ja-JP"/>
        </w:rPr>
        <w:t>:</w:t>
      </w:r>
    </w:p>
    <w:p w14:paraId="552FDBBC" w14:textId="07CAB399" w:rsidR="004C5C67" w:rsidRPr="004C5C67" w:rsidRDefault="004C5C67" w:rsidP="00305DC4">
      <w:pPr>
        <w:numPr>
          <w:ilvl w:val="0"/>
          <w:numId w:val="26"/>
        </w:numPr>
        <w:spacing w:after="0" w:line="276" w:lineRule="auto"/>
        <w:rPr>
          <w:rFonts w:eastAsia="SimSun"/>
          <w:szCs w:val="22"/>
          <w:lang w:val="en-US" w:eastAsia="x-none"/>
        </w:rPr>
      </w:pPr>
      <w:r w:rsidRPr="004C5C67">
        <w:rPr>
          <w:rFonts w:eastAsia="SimSun"/>
          <w:szCs w:val="22"/>
          <w:lang w:val="en-US" w:eastAsia="x-none"/>
        </w:rPr>
        <w:t>Alt1: gNB requests/triggers feedback for PDSCH from earlier COT(s)</w:t>
      </w:r>
      <w:r w:rsidR="006F0176">
        <w:rPr>
          <w:rFonts w:eastAsia="SimSun"/>
          <w:szCs w:val="22"/>
          <w:lang w:val="en-US" w:eastAsia="x-none"/>
        </w:rPr>
        <w:t xml:space="preserve"> or additional reporting of earlier HARQ feedback</w:t>
      </w:r>
    </w:p>
    <w:p w14:paraId="280D973C" w14:textId="77777777" w:rsidR="004C5C67" w:rsidRPr="004C5C67" w:rsidRDefault="004C5C67" w:rsidP="00305DC4">
      <w:pPr>
        <w:numPr>
          <w:ilvl w:val="0"/>
          <w:numId w:val="26"/>
        </w:numPr>
        <w:spacing w:after="0" w:line="276" w:lineRule="auto"/>
        <w:rPr>
          <w:rFonts w:eastAsia="SimSun"/>
          <w:szCs w:val="22"/>
          <w:lang w:val="en-US" w:eastAsia="x-none"/>
        </w:rPr>
      </w:pPr>
      <w:r w:rsidRPr="004C5C67">
        <w:rPr>
          <w:rFonts w:eastAsia="SimSun"/>
          <w:szCs w:val="22"/>
          <w:lang w:val="en-US" w:eastAsia="x-none"/>
        </w:rPr>
        <w:t>Alt2: UE is configured to report HARQ feedback for PDSCH from earlier COT(s) without an explicit request/trigger</w:t>
      </w:r>
    </w:p>
    <w:p w14:paraId="73A7094C" w14:textId="4719AFE3" w:rsidR="002611FB" w:rsidRPr="006F0176" w:rsidRDefault="004C5C67" w:rsidP="00305DC4">
      <w:pPr>
        <w:numPr>
          <w:ilvl w:val="0"/>
          <w:numId w:val="26"/>
        </w:numPr>
        <w:spacing w:after="0" w:line="276" w:lineRule="auto"/>
        <w:rPr>
          <w:rFonts w:eastAsia="SimSun"/>
          <w:szCs w:val="22"/>
          <w:lang w:val="en-US" w:eastAsia="x-none"/>
        </w:rPr>
      </w:pPr>
      <w:r w:rsidRPr="004C5C67">
        <w:rPr>
          <w:rFonts w:eastAsia="SimSun"/>
          <w:szCs w:val="22"/>
          <w:lang w:val="en-US" w:eastAsia="x-none"/>
        </w:rPr>
        <w:lastRenderedPageBreak/>
        <w:t xml:space="preserve">Alt3: by </w:t>
      </w:r>
      <w:r w:rsidRPr="004C5C67">
        <w:rPr>
          <w:rFonts w:eastAsia="SimSun"/>
          <w:bCs/>
          <w:szCs w:val="22"/>
          <w:lang w:val="en-US" w:eastAsia="x-none"/>
        </w:rPr>
        <w:t>PDSCH-to-HARQ-timing-indicator in the DCI scheduling the PDSCH</w:t>
      </w:r>
    </w:p>
    <w:p w14:paraId="3F7D6757" w14:textId="0924E1AE" w:rsidR="006F0176" w:rsidRPr="006F0176" w:rsidRDefault="006F0176" w:rsidP="00305DC4">
      <w:pPr>
        <w:numPr>
          <w:ilvl w:val="0"/>
          <w:numId w:val="26"/>
        </w:numPr>
        <w:spacing w:after="0" w:line="276" w:lineRule="auto"/>
        <w:rPr>
          <w:rFonts w:eastAsia="SimSun"/>
          <w:szCs w:val="22"/>
          <w:lang w:val="en-US" w:eastAsia="x-none"/>
        </w:rPr>
      </w:pPr>
      <w:r>
        <w:rPr>
          <w:rFonts w:eastAsia="SimSun"/>
          <w:bCs/>
          <w:szCs w:val="22"/>
          <w:lang w:val="en-US" w:eastAsia="x-none"/>
        </w:rPr>
        <w:t xml:space="preserve">Alt4: preconfigured/pre-indicated multiple opportunities in frequency domain in different LBT </w:t>
      </w:r>
      <w:proofErr w:type="spellStart"/>
      <w:r>
        <w:rPr>
          <w:rFonts w:eastAsia="SimSun"/>
          <w:bCs/>
          <w:szCs w:val="22"/>
          <w:lang w:val="en-US" w:eastAsia="x-none"/>
        </w:rPr>
        <w:t>subbands</w:t>
      </w:r>
      <w:proofErr w:type="spellEnd"/>
    </w:p>
    <w:p w14:paraId="66F28B2D" w14:textId="78AB4E61" w:rsidR="006F0176" w:rsidRPr="002611FB" w:rsidRDefault="006F0176" w:rsidP="00305DC4">
      <w:pPr>
        <w:numPr>
          <w:ilvl w:val="0"/>
          <w:numId w:val="26"/>
        </w:numPr>
        <w:spacing w:after="0" w:line="276" w:lineRule="auto"/>
        <w:rPr>
          <w:rFonts w:eastAsia="SimSun"/>
          <w:szCs w:val="22"/>
          <w:lang w:val="en-US" w:eastAsia="x-none"/>
        </w:rPr>
      </w:pPr>
      <w:r>
        <w:rPr>
          <w:rFonts w:eastAsia="SimSun"/>
          <w:bCs/>
          <w:szCs w:val="22"/>
          <w:lang w:val="en-US" w:eastAsia="x-none"/>
        </w:rPr>
        <w:t>Alt5: preconfigured/pre-indicated multiple opportunities in time domain</w:t>
      </w:r>
    </w:p>
    <w:p w14:paraId="628E888D" w14:textId="77777777" w:rsidR="002611FB" w:rsidRDefault="002611FB" w:rsidP="002611FB">
      <w:pPr>
        <w:rPr>
          <w:lang w:val="en-US"/>
        </w:rPr>
      </w:pPr>
    </w:p>
    <w:p w14:paraId="64C7C31E" w14:textId="2237CECB" w:rsidR="00495309" w:rsidRDefault="004C5C67" w:rsidP="00495309">
      <w:pPr>
        <w:rPr>
          <w:lang w:val="en-US" w:eastAsia="ja-JP"/>
        </w:rPr>
      </w:pPr>
      <w:r>
        <w:rPr>
          <w:lang w:val="en-US"/>
        </w:rPr>
        <w:t xml:space="preserve">For alt 1, the gNB would trigger the UE to report the feedback(s) in the later COT(s). </w:t>
      </w:r>
      <w:r w:rsidR="00FB642D">
        <w:rPr>
          <w:lang w:val="en-US"/>
        </w:rPr>
        <w:t xml:space="preserve">Both the way </w:t>
      </w:r>
      <w:r w:rsidR="009B0823">
        <w:rPr>
          <w:lang w:val="en-US"/>
        </w:rPr>
        <w:t xml:space="preserve">with and </w:t>
      </w:r>
      <w:r w:rsidR="00FB642D">
        <w:rPr>
          <w:lang w:val="en-US"/>
        </w:rPr>
        <w:t xml:space="preserve">without explicit signaling of HARQ process ID were discussed. </w:t>
      </w:r>
      <w:r>
        <w:rPr>
          <w:lang w:val="en-US"/>
        </w:rPr>
        <w:t>For alt 2</w:t>
      </w:r>
      <w:r w:rsidR="0007176F">
        <w:rPr>
          <w:lang w:val="en-US"/>
        </w:rPr>
        <w:t>, 4 and 5</w:t>
      </w:r>
      <w:r>
        <w:rPr>
          <w:lang w:val="en-US"/>
        </w:rPr>
        <w:t>, HARQ</w:t>
      </w:r>
      <w:r w:rsidR="00B9718D">
        <w:rPr>
          <w:lang w:val="en-US"/>
        </w:rPr>
        <w:t>-ACK</w:t>
      </w:r>
      <w:r>
        <w:rPr>
          <w:lang w:val="en-US"/>
        </w:rPr>
        <w:t xml:space="preserve"> feedback from earlier COT(s) </w:t>
      </w:r>
      <w:r w:rsidR="00686D90">
        <w:rPr>
          <w:lang w:val="en-US"/>
        </w:rPr>
        <w:t>would be transmitted by predefined rules.</w:t>
      </w:r>
      <w:r w:rsidR="00385224">
        <w:rPr>
          <w:lang w:val="en-US"/>
        </w:rPr>
        <w:t xml:space="preserve"> The benefit for </w:t>
      </w:r>
      <w:r w:rsidR="0065104A">
        <w:rPr>
          <w:lang w:val="en-US"/>
        </w:rPr>
        <w:t xml:space="preserve">these </w:t>
      </w:r>
      <w:r w:rsidR="00385224">
        <w:rPr>
          <w:lang w:val="en-US"/>
        </w:rPr>
        <w:t>alternative</w:t>
      </w:r>
      <w:r w:rsidR="0065104A">
        <w:rPr>
          <w:rFonts w:hint="eastAsia"/>
          <w:lang w:val="en-US" w:eastAsia="ja-JP"/>
        </w:rPr>
        <w:t>s</w:t>
      </w:r>
      <w:r w:rsidR="00385224">
        <w:rPr>
          <w:lang w:val="en-US"/>
        </w:rPr>
        <w:t xml:space="preserve"> is </w:t>
      </w:r>
      <w:r w:rsidR="00F43F5F">
        <w:rPr>
          <w:lang w:val="en-US"/>
        </w:rPr>
        <w:t xml:space="preserve">to </w:t>
      </w:r>
      <w:r w:rsidR="00385224">
        <w:rPr>
          <w:lang w:val="en-US"/>
        </w:rPr>
        <w:t xml:space="preserve">save the resource for signaling, however, it </w:t>
      </w:r>
      <w:r w:rsidR="00F266DF">
        <w:rPr>
          <w:lang w:val="en-US"/>
        </w:rPr>
        <w:t xml:space="preserve">mandates UE to always report HARQ-ACK thus lack of </w:t>
      </w:r>
      <w:r w:rsidR="009A0E5F">
        <w:rPr>
          <w:lang w:val="en-US"/>
        </w:rPr>
        <w:t xml:space="preserve">gNB control </w:t>
      </w:r>
      <w:r w:rsidR="00F266DF">
        <w:rPr>
          <w:lang w:val="en-US"/>
        </w:rPr>
        <w:t xml:space="preserve">flexibility. </w:t>
      </w:r>
      <w:r w:rsidR="00D50AC3">
        <w:rPr>
          <w:lang w:val="en-US"/>
        </w:rPr>
        <w:t xml:space="preserve">In addition, </w:t>
      </w:r>
      <w:r w:rsidR="009A0E5F">
        <w:rPr>
          <w:lang w:val="en-US"/>
        </w:rPr>
        <w:t xml:space="preserve">if it is transmitted as priority, the </w:t>
      </w:r>
      <w:r w:rsidR="00D50AC3">
        <w:rPr>
          <w:lang w:val="en-US"/>
        </w:rPr>
        <w:t xml:space="preserve">configured resources could not be used by other </w:t>
      </w:r>
      <w:proofErr w:type="spellStart"/>
      <w:r w:rsidR="00D50AC3">
        <w:rPr>
          <w:lang w:val="en-US"/>
        </w:rPr>
        <w:t>gNBs</w:t>
      </w:r>
      <w:proofErr w:type="spellEnd"/>
      <w:r w:rsidR="00D50AC3">
        <w:rPr>
          <w:lang w:val="en-US"/>
        </w:rPr>
        <w:t xml:space="preserve">/UEs/Wi-Fi devices. </w:t>
      </w:r>
      <w:r w:rsidR="007266DB">
        <w:rPr>
          <w:lang w:val="en-US"/>
        </w:rPr>
        <w:t xml:space="preserve">It </w:t>
      </w:r>
      <w:r w:rsidR="009A0E5F">
        <w:rPr>
          <w:lang w:val="en-US"/>
        </w:rPr>
        <w:t xml:space="preserve">is </w:t>
      </w:r>
      <w:r w:rsidR="007266DB">
        <w:rPr>
          <w:lang w:val="en-US"/>
        </w:rPr>
        <w:t>unfair resource allocation</w:t>
      </w:r>
      <w:r w:rsidR="000B42FD">
        <w:rPr>
          <w:lang w:val="en-US"/>
        </w:rPr>
        <w:t xml:space="preserve">. Thus, it </w:t>
      </w:r>
      <w:r w:rsidR="009B0823">
        <w:rPr>
          <w:lang w:val="en-US"/>
        </w:rPr>
        <w:t>would</w:t>
      </w:r>
      <w:r w:rsidR="000B42FD">
        <w:rPr>
          <w:lang w:val="en-US"/>
        </w:rPr>
        <w:t xml:space="preserve"> be better to avoid </w:t>
      </w:r>
      <w:r w:rsidR="0065104A">
        <w:rPr>
          <w:lang w:val="en-US"/>
        </w:rPr>
        <w:t xml:space="preserve">these </w:t>
      </w:r>
      <w:r w:rsidR="000B42FD">
        <w:rPr>
          <w:lang w:val="en-US"/>
        </w:rPr>
        <w:t>alternative</w:t>
      </w:r>
      <w:r w:rsidR="0065104A">
        <w:rPr>
          <w:lang w:val="en-US"/>
        </w:rPr>
        <w:t>s</w:t>
      </w:r>
      <w:r w:rsidR="000B42FD">
        <w:rPr>
          <w:lang w:val="en-US"/>
        </w:rPr>
        <w:t xml:space="preserve">. </w:t>
      </w:r>
      <w:r w:rsidR="00245C67">
        <w:rPr>
          <w:lang w:val="en-US"/>
        </w:rPr>
        <w:t>For alt 3, the gNB indi</w:t>
      </w:r>
      <w:r w:rsidR="00967A58">
        <w:rPr>
          <w:lang w:val="en-US"/>
        </w:rPr>
        <w:t xml:space="preserve">cates whether HARQ-ACK feedback should be transmitted in the current COT or a later COT to UE by PDSCH-to-HARQ-timing-indicator in the DCI. </w:t>
      </w:r>
      <w:r w:rsidR="0043504D">
        <w:rPr>
          <w:lang w:val="en-US"/>
        </w:rPr>
        <w:t>I</w:t>
      </w:r>
      <w:r w:rsidR="002611FB">
        <w:rPr>
          <w:lang w:val="en-US"/>
        </w:rPr>
        <w:t xml:space="preserve">n this alternative, whether UE transmit HARQ feedback or not in the indicated COT depends on </w:t>
      </w:r>
      <w:proofErr w:type="spellStart"/>
      <w:r w:rsidR="0077404E">
        <w:rPr>
          <w:lang w:val="en-US"/>
        </w:rPr>
        <w:t>gNB's</w:t>
      </w:r>
      <w:proofErr w:type="spellEnd"/>
      <w:r w:rsidR="0077404E">
        <w:rPr>
          <w:lang w:val="en-US"/>
        </w:rPr>
        <w:t xml:space="preserve"> decision when gNB obtain the COT</w:t>
      </w:r>
      <w:r w:rsidR="00E11148">
        <w:rPr>
          <w:lang w:val="en-US"/>
        </w:rPr>
        <w:t>. Therefore, more predictable scheduling is possible. The overhead caused by the DCI can be mitigated by the DCI is sent via group-common manner.</w:t>
      </w:r>
    </w:p>
    <w:p w14:paraId="3FDA843B" w14:textId="32D6F8F8" w:rsidR="00EC782A" w:rsidRDefault="00495309" w:rsidP="002611FB">
      <w:pPr>
        <w:rPr>
          <w:lang w:val="en-US" w:eastAsia="ja-JP"/>
        </w:rPr>
      </w:pPr>
      <w:r>
        <w:rPr>
          <w:rFonts w:hint="eastAsia"/>
          <w:lang w:val="en-US" w:eastAsia="ja-JP"/>
        </w:rPr>
        <w:t>F</w:t>
      </w:r>
      <w:r>
        <w:rPr>
          <w:lang w:val="en-US" w:eastAsia="ja-JP"/>
        </w:rPr>
        <w:t>or alt1, two options</w:t>
      </w:r>
      <w:r w:rsidR="002B798D">
        <w:rPr>
          <w:lang w:val="en-US" w:eastAsia="ja-JP"/>
        </w:rPr>
        <w:t xml:space="preserve"> have been </w:t>
      </w:r>
      <w:r w:rsidR="00CF38EF">
        <w:rPr>
          <w:lang w:val="en-US" w:eastAsia="ja-JP"/>
        </w:rPr>
        <w:t>identified</w:t>
      </w:r>
      <w:r>
        <w:rPr>
          <w:lang w:val="en-US" w:eastAsia="ja-JP"/>
        </w:rPr>
        <w:t xml:space="preserve">: one is to indicate HARQ process IDs or HARQ process grouping IDs as a trigger and the other is to indicate other than HARQ process ID related information. For the indication of HARQ process IDs, 16 bits </w:t>
      </w:r>
      <w:r w:rsidR="00980D60">
        <w:rPr>
          <w:lang w:val="en-US" w:eastAsia="ja-JP"/>
        </w:rPr>
        <w:t>may</w:t>
      </w:r>
      <w:r>
        <w:rPr>
          <w:lang w:val="en-US" w:eastAsia="ja-JP"/>
        </w:rPr>
        <w:t xml:space="preserve"> be needed </w:t>
      </w:r>
      <w:r w:rsidR="002B798D">
        <w:rPr>
          <w:lang w:val="en-US" w:eastAsia="ja-JP"/>
        </w:rPr>
        <w:t xml:space="preserve">per cell </w:t>
      </w:r>
      <w:r>
        <w:rPr>
          <w:lang w:val="en-US" w:eastAsia="ja-JP"/>
        </w:rPr>
        <w:t xml:space="preserve">because 16 HARQ processes are </w:t>
      </w:r>
      <w:r w:rsidR="00980D60">
        <w:rPr>
          <w:lang w:val="en-US" w:eastAsia="ja-JP"/>
        </w:rPr>
        <w:t>supported</w:t>
      </w:r>
      <w:r>
        <w:rPr>
          <w:lang w:val="en-US" w:eastAsia="ja-JP"/>
        </w:rPr>
        <w:t xml:space="preserve"> </w:t>
      </w:r>
      <w:r w:rsidR="002B798D">
        <w:rPr>
          <w:lang w:val="en-US" w:eastAsia="ja-JP"/>
        </w:rPr>
        <w:t xml:space="preserve">per cell </w:t>
      </w:r>
      <w:r>
        <w:rPr>
          <w:lang w:val="en-US" w:eastAsia="ja-JP"/>
        </w:rPr>
        <w:t xml:space="preserve">in Rel.15 NR. </w:t>
      </w:r>
      <w:r w:rsidR="00101300">
        <w:rPr>
          <w:lang w:val="en-US" w:eastAsia="ja-JP"/>
        </w:rPr>
        <w:t xml:space="preserve">In order to reduce </w:t>
      </w:r>
      <w:r w:rsidR="00F815C1">
        <w:rPr>
          <w:lang w:val="en-US" w:eastAsia="ja-JP"/>
        </w:rPr>
        <w:t>DCI overhead, one-shot HARQ-ACK feedback trigger was proposed in RAN1#96. I</w:t>
      </w:r>
      <w:r w:rsidR="00101300">
        <w:rPr>
          <w:lang w:val="en-US" w:eastAsia="ja-JP"/>
        </w:rPr>
        <w:t xml:space="preserve">n such design, </w:t>
      </w:r>
      <w:r w:rsidR="00F815C1">
        <w:rPr>
          <w:lang w:val="en-US" w:eastAsia="ja-JP"/>
        </w:rPr>
        <w:t>1 bit in DCI (DCI type is FFS) as a trigger for all configured HARQ processes</w:t>
      </w:r>
      <w:r w:rsidR="00101300">
        <w:rPr>
          <w:lang w:val="en-US" w:eastAsia="ja-JP"/>
        </w:rPr>
        <w:t xml:space="preserve"> was proposed</w:t>
      </w:r>
      <w:r w:rsidR="00F815C1">
        <w:rPr>
          <w:lang w:val="en-US" w:eastAsia="ja-JP"/>
        </w:rPr>
        <w:t xml:space="preserve">. It </w:t>
      </w:r>
      <w:r w:rsidR="00101300">
        <w:rPr>
          <w:lang w:val="en-US" w:eastAsia="ja-JP"/>
        </w:rPr>
        <w:t>would</w:t>
      </w:r>
      <w:r w:rsidR="00F815C1">
        <w:rPr>
          <w:lang w:val="en-US" w:eastAsia="ja-JP"/>
        </w:rPr>
        <w:t xml:space="preserve"> be one of the simplest ways to trigger HARQ-ACK feedback. On the other hand,</w:t>
      </w:r>
      <w:r w:rsidR="002D1E7F">
        <w:rPr>
          <w:lang w:val="en-US" w:eastAsia="ja-JP"/>
        </w:rPr>
        <w:t xml:space="preserve"> i</w:t>
      </w:r>
      <w:r w:rsidR="00F815C1">
        <w:rPr>
          <w:lang w:val="en-US" w:eastAsia="ja-JP"/>
        </w:rPr>
        <w:t xml:space="preserve">f some DCIs scheduling PDSCH are </w:t>
      </w:r>
      <w:r w:rsidR="00101300">
        <w:rPr>
          <w:lang w:val="en-US" w:eastAsia="ja-JP"/>
        </w:rPr>
        <w:t>miss detected</w:t>
      </w:r>
      <w:r w:rsidR="00F815C1">
        <w:rPr>
          <w:lang w:val="en-US" w:eastAsia="ja-JP"/>
        </w:rPr>
        <w:t xml:space="preserve">, there </w:t>
      </w:r>
      <w:r w:rsidR="00101300">
        <w:rPr>
          <w:lang w:val="en-US" w:eastAsia="ja-JP"/>
        </w:rPr>
        <w:t xml:space="preserve">is </w:t>
      </w:r>
      <w:r w:rsidR="00F815C1">
        <w:rPr>
          <w:lang w:val="en-US" w:eastAsia="ja-JP"/>
        </w:rPr>
        <w:t xml:space="preserve">a </w:t>
      </w:r>
      <w:r w:rsidR="00980D60">
        <w:rPr>
          <w:lang w:val="en-US" w:eastAsia="ja-JP"/>
        </w:rPr>
        <w:t xml:space="preserve">different </w:t>
      </w:r>
      <w:r w:rsidR="002D1E7F">
        <w:rPr>
          <w:lang w:val="en-US" w:eastAsia="ja-JP"/>
        </w:rPr>
        <w:t xml:space="preserve">understanding of </w:t>
      </w:r>
      <w:r w:rsidR="00F815C1">
        <w:rPr>
          <w:lang w:val="en-US" w:eastAsia="ja-JP"/>
        </w:rPr>
        <w:t>which PDSCH is acknowledged in the HARQ process between the gNB and the UE</w:t>
      </w:r>
      <w:r w:rsidR="002D1E7F">
        <w:rPr>
          <w:lang w:val="en-US" w:eastAsia="ja-JP"/>
        </w:rPr>
        <w:t xml:space="preserve">. </w:t>
      </w:r>
      <w:r w:rsidR="00EC782A">
        <w:rPr>
          <w:lang w:val="en-US" w:eastAsia="ja-JP"/>
        </w:rPr>
        <w:t xml:space="preserve">For example, in the case in Fig.1 below, if UE fails to detect DCI scheduling PDSCH #n+16 (and assigning it to HARQ process #0), the UE would keep HARQ-ACK of PDSCH #n for HARQ process #0. </w:t>
      </w:r>
      <w:r w:rsidR="00C764DF">
        <w:rPr>
          <w:lang w:val="en-US" w:eastAsia="ja-JP"/>
        </w:rPr>
        <w:t>I</w:t>
      </w:r>
      <w:r w:rsidR="00EC782A">
        <w:rPr>
          <w:lang w:val="en-US" w:eastAsia="ja-JP"/>
        </w:rPr>
        <w:t xml:space="preserve">f HARQ-ACK feedback for all configured HARQ processes is triggered by one-shot trigger after PDSCH #n+17 like Fig.1, </w:t>
      </w:r>
      <w:r w:rsidR="0001187E">
        <w:rPr>
          <w:lang w:val="en-US" w:eastAsia="ja-JP"/>
        </w:rPr>
        <w:t>although gNB expects that HARQ-ACK of PDSCH #n+16 would be reported for HARQ process #0, UE would transmit HARQ-ACK of PDSCH #n for HARQ process #0.</w:t>
      </w:r>
    </w:p>
    <w:p w14:paraId="3FE82CC0" w14:textId="108602D3" w:rsidR="0001187E" w:rsidRDefault="0001187E" w:rsidP="002611FB">
      <w:pPr>
        <w:rPr>
          <w:lang w:val="en-US" w:eastAsia="ja-JP"/>
        </w:rPr>
      </w:pPr>
      <w:r>
        <w:object w:dxaOrig="13365" w:dyaOrig="4996" w14:anchorId="49099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pt" o:ole="">
            <v:imagedata r:id="rId9" o:title=""/>
          </v:shape>
          <o:OLEObject Type="Embed" ProgID="Visio.Drawing.15" ShapeID="_x0000_i1025" DrawAspect="Content" ObjectID="_1615373144" r:id="rId10"/>
        </w:object>
      </w:r>
    </w:p>
    <w:p w14:paraId="75651B85" w14:textId="034A3E47" w:rsidR="0001187E" w:rsidRDefault="0001187E" w:rsidP="00BD45D9">
      <w:pPr>
        <w:jc w:val="center"/>
        <w:rPr>
          <w:lang w:val="en-US" w:eastAsia="ja-JP"/>
        </w:rPr>
      </w:pPr>
      <w:r>
        <w:rPr>
          <w:rFonts w:hint="eastAsia"/>
          <w:lang w:val="en-US" w:eastAsia="ja-JP"/>
        </w:rPr>
        <w:t xml:space="preserve">Fig.1 Potential error case of one-shot HARQ-ACK trigger </w:t>
      </w:r>
    </w:p>
    <w:p w14:paraId="7E97CDFC" w14:textId="19E76571" w:rsidR="002B798D" w:rsidRDefault="002B798D" w:rsidP="002611FB">
      <w:pPr>
        <w:rPr>
          <w:lang w:val="en-US" w:eastAsia="ja-JP"/>
        </w:rPr>
      </w:pPr>
    </w:p>
    <w:p w14:paraId="1940F339" w14:textId="11667A4A" w:rsidR="00C764DF" w:rsidRDefault="00C764DF" w:rsidP="00C764DF">
      <w:pPr>
        <w:rPr>
          <w:b/>
          <w:i/>
          <w:lang w:val="en-US" w:eastAsia="ja-JP"/>
        </w:rPr>
      </w:pPr>
      <w:r>
        <w:rPr>
          <w:rFonts w:hint="eastAsia"/>
          <w:b/>
          <w:i/>
          <w:lang w:val="en-US" w:eastAsia="ja-JP"/>
        </w:rPr>
        <w:t>Observation</w:t>
      </w:r>
      <w:r>
        <w:rPr>
          <w:b/>
          <w:i/>
          <w:lang w:val="en-US" w:eastAsia="ja-JP"/>
        </w:rPr>
        <w:t xml:space="preserve"> 1: For one-shot HARQ-ACK feedback trigger for all configured HARQ processes, there is a situation that the number of assigned PDSCH is different understanding between gNB and UE.</w:t>
      </w:r>
    </w:p>
    <w:p w14:paraId="16927D1B" w14:textId="77777777" w:rsidR="00FA0A93" w:rsidRPr="00BD45D9" w:rsidRDefault="00FA0A93" w:rsidP="002611FB">
      <w:pPr>
        <w:rPr>
          <w:b/>
          <w:i/>
          <w:lang w:val="en-US" w:eastAsia="ja-JP"/>
        </w:rPr>
      </w:pPr>
    </w:p>
    <w:p w14:paraId="77AE661C" w14:textId="2923C913" w:rsidR="00FD202C" w:rsidRDefault="00FD202C" w:rsidP="00FD202C">
      <w:pPr>
        <w:rPr>
          <w:lang w:val="en-US" w:eastAsia="ja-JP"/>
        </w:rPr>
      </w:pPr>
      <w:r>
        <w:rPr>
          <w:lang w:val="en-US" w:eastAsia="ja-JP"/>
        </w:rPr>
        <w:t xml:space="preserve">Another option is to indicate other than HARQ process ID related information as a trigger. </w:t>
      </w:r>
      <w:r>
        <w:rPr>
          <w:rFonts w:hint="eastAsia"/>
          <w:lang w:val="en-US" w:eastAsia="ja-JP"/>
        </w:rPr>
        <w:t>E</w:t>
      </w:r>
      <w:r>
        <w:rPr>
          <w:lang w:val="en-US" w:eastAsia="ja-JP"/>
        </w:rPr>
        <w:t xml:space="preserve">ricsson </w:t>
      </w:r>
      <w:r w:rsidR="00DE10AE">
        <w:rPr>
          <w:lang w:val="en-US" w:eastAsia="ja-JP"/>
        </w:rPr>
        <w:t xml:space="preserve">[2] </w:t>
      </w:r>
      <w:r>
        <w:rPr>
          <w:lang w:val="en-US" w:eastAsia="ja-JP"/>
        </w:rPr>
        <w:t xml:space="preserve">proposed to add a toggle bit, new feedback indicator (NFI), in the DCI to indicate whether the HARQ-ACK feedback from the UE was received by the gNB or not. </w:t>
      </w:r>
      <w:r w:rsidR="0011513C">
        <w:rPr>
          <w:lang w:val="en-US" w:eastAsia="ja-JP"/>
        </w:rPr>
        <w:t>MediaTek [</w:t>
      </w:r>
      <w:r w:rsidR="00DE10AE">
        <w:rPr>
          <w:lang w:val="en-US" w:eastAsia="ja-JP"/>
        </w:rPr>
        <w:t>3</w:t>
      </w:r>
      <w:r w:rsidR="0011513C">
        <w:rPr>
          <w:lang w:val="en-US" w:eastAsia="ja-JP"/>
        </w:rPr>
        <w:t>]</w:t>
      </w:r>
      <w:r>
        <w:rPr>
          <w:lang w:val="en-US" w:eastAsia="ja-JP"/>
        </w:rPr>
        <w:t xml:space="preserve"> proposed to introduce PDSCH grouping by group ID and to indicate the group ID as a trigger of HARQ-ACK feedback. </w:t>
      </w:r>
      <w:r w:rsidR="003768D9">
        <w:rPr>
          <w:lang w:val="en-US" w:eastAsia="ja-JP"/>
        </w:rPr>
        <w:t xml:space="preserve">Although to introduce toggle bit has the merit from DCI overhead perspective, </w:t>
      </w:r>
      <w:r w:rsidR="008B2428">
        <w:rPr>
          <w:lang w:val="en-US" w:eastAsia="ja-JP"/>
        </w:rPr>
        <w:t>if HARQ feedback is triggered by only a toggle bit, the UE m</w:t>
      </w:r>
      <w:r w:rsidR="002C55DF">
        <w:rPr>
          <w:lang w:val="en-US" w:eastAsia="ja-JP"/>
        </w:rPr>
        <w:t>ay</w:t>
      </w:r>
      <w:r w:rsidR="008B2428">
        <w:rPr>
          <w:lang w:val="en-US" w:eastAsia="ja-JP"/>
        </w:rPr>
        <w:t xml:space="preserve"> </w:t>
      </w:r>
      <w:r w:rsidR="00345E04">
        <w:rPr>
          <w:lang w:val="en-US" w:eastAsia="ja-JP"/>
        </w:rPr>
        <w:t>transmit</w:t>
      </w:r>
      <w:r w:rsidR="00AC54FD">
        <w:rPr>
          <w:lang w:val="en-US" w:eastAsia="ja-JP"/>
        </w:rPr>
        <w:t xml:space="preserve"> HARQ-ACK for the PDSCHs which is not required by gNB.</w:t>
      </w:r>
      <w:r w:rsidR="00DB03B7">
        <w:rPr>
          <w:lang w:val="en-US" w:eastAsia="ja-JP"/>
        </w:rPr>
        <w:t xml:space="preserve"> </w:t>
      </w:r>
      <w:r w:rsidR="00BD45D9">
        <w:rPr>
          <w:lang w:val="en-US" w:eastAsia="ja-JP"/>
        </w:rPr>
        <w:t xml:space="preserve">As an </w:t>
      </w:r>
      <w:r w:rsidR="00DB03B7">
        <w:rPr>
          <w:lang w:val="en-US" w:eastAsia="ja-JP"/>
        </w:rPr>
        <w:t xml:space="preserve">example, in the case Fig.2 below, if toggled in slot q, HARQ-ACKs for PDSCH in slot m+2 and m+3 may be </w:t>
      </w:r>
      <w:r w:rsidR="00734EB1">
        <w:rPr>
          <w:lang w:val="en-US" w:eastAsia="ja-JP"/>
        </w:rPr>
        <w:t>discarded</w:t>
      </w:r>
      <w:r w:rsidR="00DB03B7">
        <w:rPr>
          <w:lang w:val="en-US" w:eastAsia="ja-JP"/>
        </w:rPr>
        <w:t xml:space="preserve"> and may not be transmitted in PUCCH in slot q+1. </w:t>
      </w:r>
      <w:r w:rsidR="003768D9">
        <w:rPr>
          <w:lang w:val="en-US" w:eastAsia="ja-JP"/>
        </w:rPr>
        <w:t xml:space="preserve">Therefore, to introduce group ID and indicate it as a trigger would be more robust. </w:t>
      </w:r>
      <w:r w:rsidR="00CF4471">
        <w:rPr>
          <w:lang w:val="en-US" w:eastAsia="ja-JP"/>
        </w:rPr>
        <w:t xml:space="preserve">Also, there would be another way to group PDSCH than group ID. </w:t>
      </w:r>
      <w:r w:rsidR="00CF4471">
        <w:rPr>
          <w:lang w:val="en-US" w:eastAsia="ja-JP"/>
        </w:rPr>
        <w:lastRenderedPageBreak/>
        <w:t xml:space="preserve">For example, to group depending on that whether the PDSCH is scheduled within current COT or not (i.e. scheduled within previous COT) could be a reasonable option to determine PDSCH group. In this case, there could be no need to introduce group ID itself </w:t>
      </w:r>
      <w:r w:rsidR="00C37892">
        <w:rPr>
          <w:lang w:val="en-US" w:eastAsia="ja-JP"/>
        </w:rPr>
        <w:t xml:space="preserve">in PDCCH </w:t>
      </w:r>
      <w:r w:rsidR="00CF4471">
        <w:rPr>
          <w:lang w:val="en-US" w:eastAsia="ja-JP"/>
        </w:rPr>
        <w:t xml:space="preserve">to distinguish PDSCHs. </w:t>
      </w:r>
    </w:p>
    <w:p w14:paraId="5AEB4B79" w14:textId="7B85F96F" w:rsidR="00345E04" w:rsidRDefault="00345E04" w:rsidP="00C76119">
      <w:pPr>
        <w:jc w:val="center"/>
      </w:pPr>
      <w:r>
        <w:object w:dxaOrig="12301" w:dyaOrig="4291" w14:anchorId="0FBB3D46">
          <v:shape id="_x0000_i1026" type="#_x0000_t75" style="width:381.75pt;height:133.5pt" o:ole="">
            <v:imagedata r:id="rId11" o:title=""/>
          </v:shape>
          <o:OLEObject Type="Embed" ProgID="Visio.Drawing.15" ShapeID="_x0000_i1026" DrawAspect="Content" ObjectID="_1615373145" r:id="rId12"/>
        </w:object>
      </w:r>
    </w:p>
    <w:p w14:paraId="5DBF1846" w14:textId="5BD1B1BD" w:rsidR="00345E04" w:rsidRDefault="00DB03B7" w:rsidP="00C76119">
      <w:pPr>
        <w:jc w:val="center"/>
        <w:rPr>
          <w:lang w:val="en-US" w:eastAsia="ja-JP"/>
        </w:rPr>
      </w:pPr>
      <w:r>
        <w:rPr>
          <w:rFonts w:hint="eastAsia"/>
          <w:lang w:val="en-US" w:eastAsia="ja-JP"/>
        </w:rPr>
        <w:t xml:space="preserve">Fig.2 </w:t>
      </w:r>
      <w:r>
        <w:rPr>
          <w:lang w:val="en-US" w:eastAsia="ja-JP"/>
        </w:rPr>
        <w:t>Potential case of HARQ-ACK trigger by toggle bit</w:t>
      </w:r>
    </w:p>
    <w:p w14:paraId="6C522801" w14:textId="30AE18D0" w:rsidR="00281FB7" w:rsidRDefault="00281FB7" w:rsidP="00FD202C">
      <w:pPr>
        <w:rPr>
          <w:lang w:val="en-US" w:eastAsia="ja-JP"/>
        </w:rPr>
      </w:pPr>
    </w:p>
    <w:p w14:paraId="6DDCED17" w14:textId="19C64AF5" w:rsidR="008B2428" w:rsidRDefault="007B6496" w:rsidP="00FD202C">
      <w:pPr>
        <w:rPr>
          <w:lang w:val="en-US" w:eastAsia="ja-JP"/>
        </w:rPr>
      </w:pPr>
      <w:r>
        <w:rPr>
          <w:lang w:val="en-US" w:eastAsia="ja-JP"/>
        </w:rPr>
        <w:t>Although these solutions improve the situation</w:t>
      </w:r>
      <w:r w:rsidR="00F323C9">
        <w:rPr>
          <w:lang w:val="en-US" w:eastAsia="ja-JP"/>
        </w:rPr>
        <w:t xml:space="preserve"> of the failure</w:t>
      </w:r>
      <w:r w:rsidR="008B2428">
        <w:rPr>
          <w:lang w:val="en-US" w:eastAsia="ja-JP"/>
        </w:rPr>
        <w:t xml:space="preserve">, if </w:t>
      </w:r>
      <w:r w:rsidR="00AC54FD">
        <w:rPr>
          <w:lang w:val="en-US" w:eastAsia="ja-JP"/>
        </w:rPr>
        <w:t xml:space="preserve">the UE fails to detect </w:t>
      </w:r>
      <w:r w:rsidR="008B2428">
        <w:rPr>
          <w:lang w:val="en-US" w:eastAsia="ja-JP"/>
        </w:rPr>
        <w:t>DCI</w:t>
      </w:r>
      <w:r w:rsidR="00AC54FD">
        <w:rPr>
          <w:lang w:val="en-US" w:eastAsia="ja-JP"/>
        </w:rPr>
        <w:t xml:space="preserve"> to schedule</w:t>
      </w:r>
      <w:r w:rsidR="008B2428">
        <w:rPr>
          <w:lang w:val="en-US" w:eastAsia="ja-JP"/>
        </w:rPr>
        <w:t xml:space="preserve"> PDSCH</w:t>
      </w:r>
      <w:r w:rsidR="00481240">
        <w:rPr>
          <w:lang w:val="en-US" w:eastAsia="ja-JP"/>
        </w:rPr>
        <w:t xml:space="preserve"> including total DAI</w:t>
      </w:r>
      <w:r w:rsidR="008B2428">
        <w:rPr>
          <w:lang w:val="en-US" w:eastAsia="ja-JP"/>
        </w:rPr>
        <w:t xml:space="preserve">, especially for the last PDSCH, </w:t>
      </w:r>
      <w:r w:rsidR="00AC54FD">
        <w:rPr>
          <w:lang w:val="en-US" w:eastAsia="ja-JP"/>
        </w:rPr>
        <w:t xml:space="preserve">it </w:t>
      </w:r>
      <w:r w:rsidR="008B2428">
        <w:rPr>
          <w:lang w:val="en-US" w:eastAsia="ja-JP"/>
        </w:rPr>
        <w:t xml:space="preserve">could </w:t>
      </w:r>
      <w:r w:rsidR="00481240">
        <w:rPr>
          <w:lang w:val="en-US" w:eastAsia="ja-JP"/>
        </w:rPr>
        <w:t xml:space="preserve">not </w:t>
      </w:r>
      <w:r w:rsidR="008B2428">
        <w:rPr>
          <w:lang w:val="en-US" w:eastAsia="ja-JP"/>
        </w:rPr>
        <w:t>understand</w:t>
      </w:r>
      <w:r w:rsidR="00481240">
        <w:rPr>
          <w:lang w:val="en-US" w:eastAsia="ja-JP"/>
        </w:rPr>
        <w:t xml:space="preserve"> HARQ codebook size correctly</w:t>
      </w:r>
      <w:r w:rsidR="00CB4617">
        <w:rPr>
          <w:lang w:val="en-US" w:eastAsia="ja-JP"/>
        </w:rPr>
        <w:t xml:space="preserve">. As the resource of the PUCCH carrying the HARQ-ACK feedback depends on the number of HARQ-ACKs, the gNB </w:t>
      </w:r>
      <w:r w:rsidR="0002111A">
        <w:rPr>
          <w:lang w:val="en-US" w:eastAsia="ja-JP"/>
        </w:rPr>
        <w:t xml:space="preserve">would </w:t>
      </w:r>
      <w:r w:rsidR="00CB4617">
        <w:rPr>
          <w:lang w:val="en-US" w:eastAsia="ja-JP"/>
        </w:rPr>
        <w:t>fail to decode the PUCCH if the UE understands the number of HARQ-ACKs</w:t>
      </w:r>
      <w:r w:rsidR="00A66AA2">
        <w:rPr>
          <w:lang w:val="en-US" w:eastAsia="ja-JP"/>
        </w:rPr>
        <w:t xml:space="preserve"> incorrectly</w:t>
      </w:r>
      <w:r w:rsidR="00CB4617">
        <w:rPr>
          <w:lang w:val="en-US" w:eastAsia="ja-JP"/>
        </w:rPr>
        <w:t>. Therefore, we propose that the DCI to trigger HARQ-ACK include</w:t>
      </w:r>
      <w:r w:rsidR="002C55DF">
        <w:rPr>
          <w:lang w:val="en-US" w:eastAsia="ja-JP"/>
        </w:rPr>
        <w:t>s</w:t>
      </w:r>
      <w:r w:rsidR="00CB4617">
        <w:rPr>
          <w:lang w:val="en-US" w:eastAsia="ja-JP"/>
        </w:rPr>
        <w:t xml:space="preserve"> the numb</w:t>
      </w:r>
      <w:r w:rsidR="00475ED5">
        <w:rPr>
          <w:lang w:val="en-US" w:eastAsia="ja-JP"/>
        </w:rPr>
        <w:t xml:space="preserve">er of HARQ-ACK </w:t>
      </w:r>
      <w:r w:rsidR="00AA1299">
        <w:rPr>
          <w:lang w:val="en-US" w:eastAsia="ja-JP"/>
        </w:rPr>
        <w:t xml:space="preserve">(like </w:t>
      </w:r>
      <w:r w:rsidR="00B13765">
        <w:rPr>
          <w:lang w:val="en-US" w:eastAsia="ja-JP"/>
        </w:rPr>
        <w:t xml:space="preserve">total </w:t>
      </w:r>
      <w:r w:rsidR="00AA1299">
        <w:rPr>
          <w:lang w:val="en-US" w:eastAsia="ja-JP"/>
        </w:rPr>
        <w:t xml:space="preserve">DAI) </w:t>
      </w:r>
      <w:r w:rsidR="00475ED5">
        <w:rPr>
          <w:lang w:val="en-US" w:eastAsia="ja-JP"/>
        </w:rPr>
        <w:t>to be triggered to avoid the ambiguity on understanding of the number of HARQ-ACKs between gNB and UE.</w:t>
      </w:r>
    </w:p>
    <w:p w14:paraId="6C8F390F" w14:textId="7C851A7D" w:rsidR="00475ED5" w:rsidRPr="00481240" w:rsidRDefault="00475ED5" w:rsidP="00FD202C">
      <w:pPr>
        <w:rPr>
          <w:b/>
          <w:i/>
          <w:lang w:val="en-US" w:eastAsia="ja-JP"/>
        </w:rPr>
      </w:pPr>
      <w:r>
        <w:rPr>
          <w:b/>
          <w:i/>
          <w:lang w:val="en-US" w:eastAsia="ja-JP"/>
        </w:rPr>
        <w:t xml:space="preserve">Proposal </w:t>
      </w:r>
      <w:r w:rsidR="00FA0A93">
        <w:rPr>
          <w:b/>
          <w:i/>
          <w:lang w:val="en-US" w:eastAsia="ja-JP"/>
        </w:rPr>
        <w:t>2</w:t>
      </w:r>
      <w:r>
        <w:rPr>
          <w:b/>
          <w:i/>
          <w:lang w:val="en-US" w:eastAsia="ja-JP"/>
        </w:rPr>
        <w:t xml:space="preserve">: </w:t>
      </w:r>
      <w:r w:rsidR="00FA0A93">
        <w:rPr>
          <w:b/>
          <w:i/>
          <w:lang w:val="en-US" w:eastAsia="ja-JP"/>
        </w:rPr>
        <w:t>To avoid ambiguity on understanding of the number of triggered HARQ-ACK between gNB and UE,</w:t>
      </w:r>
      <w:r w:rsidR="00481240">
        <w:rPr>
          <w:b/>
          <w:i/>
          <w:lang w:val="en-US" w:eastAsia="ja-JP"/>
        </w:rPr>
        <w:t xml:space="preserve"> </w:t>
      </w:r>
      <w:r w:rsidR="003768D9">
        <w:rPr>
          <w:b/>
          <w:i/>
          <w:lang w:val="en-US" w:eastAsia="ja-JP"/>
        </w:rPr>
        <w:t xml:space="preserve">an </w:t>
      </w:r>
      <w:r w:rsidR="004111B0">
        <w:rPr>
          <w:b/>
          <w:i/>
          <w:lang w:val="en-US" w:eastAsia="ja-JP"/>
        </w:rPr>
        <w:t>ind</w:t>
      </w:r>
      <w:r w:rsidR="003768D9">
        <w:rPr>
          <w:b/>
          <w:i/>
          <w:lang w:val="en-US" w:eastAsia="ja-JP"/>
        </w:rPr>
        <w:t>ication of</w:t>
      </w:r>
      <w:r w:rsidR="004111B0">
        <w:rPr>
          <w:b/>
          <w:i/>
          <w:lang w:val="en-US" w:eastAsia="ja-JP"/>
        </w:rPr>
        <w:t xml:space="preserve"> the number of HARQ-ACK </w:t>
      </w:r>
      <w:r w:rsidR="00CC5465">
        <w:rPr>
          <w:b/>
          <w:i/>
          <w:lang w:val="en-US" w:eastAsia="ja-JP"/>
        </w:rPr>
        <w:t xml:space="preserve">like total DAI should be sent </w:t>
      </w:r>
      <w:r w:rsidR="004111B0">
        <w:rPr>
          <w:b/>
          <w:i/>
          <w:lang w:val="en-US" w:eastAsia="ja-JP"/>
        </w:rPr>
        <w:t>as a DCI</w:t>
      </w:r>
      <w:r w:rsidR="003768D9">
        <w:rPr>
          <w:b/>
          <w:i/>
          <w:lang w:val="en-US" w:eastAsia="ja-JP"/>
        </w:rPr>
        <w:t xml:space="preserve"> </w:t>
      </w:r>
      <w:r w:rsidR="004111B0">
        <w:rPr>
          <w:b/>
          <w:i/>
          <w:lang w:val="en-US" w:eastAsia="ja-JP"/>
        </w:rPr>
        <w:t>to trigger additional HARQ-ACK</w:t>
      </w:r>
      <w:r w:rsidR="00540E1A">
        <w:rPr>
          <w:b/>
          <w:i/>
          <w:lang w:val="en-US" w:eastAsia="ja-JP"/>
        </w:rPr>
        <w:t xml:space="preserve"> in the later COT(s</w:t>
      </w:r>
      <w:r w:rsidR="00B7757C">
        <w:rPr>
          <w:b/>
          <w:i/>
          <w:lang w:val="en-US" w:eastAsia="ja-JP"/>
        </w:rPr>
        <w:t>)</w:t>
      </w:r>
      <w:r w:rsidR="00540E1A" w:rsidRPr="00540E1A">
        <w:rPr>
          <w:b/>
          <w:i/>
          <w:lang w:val="en-US" w:eastAsia="ja-JP"/>
        </w:rPr>
        <w:t>.</w:t>
      </w:r>
      <w:r w:rsidR="004111B0">
        <w:rPr>
          <w:b/>
          <w:i/>
          <w:lang w:val="en-US" w:eastAsia="ja-JP"/>
        </w:rPr>
        <w:t>.</w:t>
      </w:r>
    </w:p>
    <w:p w14:paraId="388F19D8" w14:textId="49F5577D" w:rsidR="00F5077B" w:rsidRDefault="00F5077B" w:rsidP="00245C67">
      <w:pPr>
        <w:rPr>
          <w:b/>
          <w:u w:val="single"/>
          <w:lang w:val="en-US" w:eastAsia="ja-JP"/>
        </w:rPr>
      </w:pPr>
    </w:p>
    <w:p w14:paraId="1A9A4700" w14:textId="64EFE234" w:rsidR="006C4A79" w:rsidRPr="00245C67" w:rsidRDefault="00752334" w:rsidP="00C76119">
      <w:pPr>
        <w:pStyle w:val="2"/>
        <w:rPr>
          <w:lang w:val="en-US" w:eastAsia="ja-JP"/>
        </w:rPr>
      </w:pPr>
      <w:r w:rsidRPr="00245C67">
        <w:rPr>
          <w:lang w:val="en-US" w:eastAsia="ja-JP"/>
        </w:rPr>
        <w:t>M</w:t>
      </w:r>
      <w:r w:rsidRPr="00245C67">
        <w:rPr>
          <w:rFonts w:hint="eastAsia"/>
          <w:lang w:val="en-US" w:eastAsia="ja-JP"/>
        </w:rPr>
        <w:t xml:space="preserve">ultiple </w:t>
      </w:r>
      <w:r w:rsidRPr="00245C67">
        <w:rPr>
          <w:lang w:val="en-US" w:eastAsia="ja-JP"/>
        </w:rPr>
        <w:t>TTIs scheduling</w:t>
      </w:r>
    </w:p>
    <w:p w14:paraId="02439283" w14:textId="6054E74D" w:rsidR="003F6D49" w:rsidRDefault="00F77ED8" w:rsidP="00B31073">
      <w:pPr>
        <w:rPr>
          <w:lang w:eastAsia="ja-JP"/>
        </w:rPr>
      </w:pPr>
      <w:r>
        <w:rPr>
          <w:lang w:eastAsia="ja-JP"/>
        </w:rPr>
        <w:t>In RAN1#95, following options were discussed:</w:t>
      </w:r>
    </w:p>
    <w:p w14:paraId="61A8C3C7"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 (already agreed): for scheduling multiple TTIs for PUSCH using a single UL grant:</w:t>
      </w:r>
    </w:p>
    <w:p w14:paraId="226B8229"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1a: same TB</w:t>
      </w:r>
    </w:p>
    <w:p w14:paraId="116D22B5"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One TB rate-matched across all TTIs</w:t>
      </w:r>
    </w:p>
    <w:p w14:paraId="22D93BFE"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Same TB with different RV in different TTIs (as in Rel-15 NR)</w:t>
      </w:r>
    </w:p>
    <w:p w14:paraId="02DF48A2"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1b: different TBs</w:t>
      </w:r>
    </w:p>
    <w:p w14:paraId="4AF21BA9"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2 (identified as beneficial): Scheduling multiple TTIs with different TBs for PUSCH using multiple UL grants in the same PDCCH monitoring occasion</w:t>
      </w:r>
    </w:p>
    <w:p w14:paraId="451BEDB3"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 for scheduling multiple TTIs for PDSCH using a single DL assignment</w:t>
      </w:r>
    </w:p>
    <w:p w14:paraId="5B7ACB8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3a: same TB (supported in Rel-15)</w:t>
      </w:r>
    </w:p>
    <w:p w14:paraId="10E01D7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3b: different TBs</w:t>
      </w:r>
    </w:p>
    <w:p w14:paraId="343A5CC0" w14:textId="1505E1B4" w:rsidR="00F77ED8" w:rsidRDefault="00F77ED8" w:rsidP="00B31073">
      <w:pPr>
        <w:rPr>
          <w:lang w:eastAsia="ja-JP"/>
        </w:rPr>
      </w:pPr>
    </w:p>
    <w:p w14:paraId="1DB0696B" w14:textId="047E9B4F" w:rsidR="0099562A" w:rsidRDefault="00591C0E" w:rsidP="00B31073">
      <w:pPr>
        <w:rPr>
          <w:lang w:eastAsia="ja-JP"/>
        </w:rPr>
      </w:pPr>
      <w:r>
        <w:rPr>
          <w:lang w:eastAsia="ja-JP"/>
        </w:rPr>
        <w:t>As</w:t>
      </w:r>
      <w:r w:rsidR="0099562A">
        <w:rPr>
          <w:lang w:eastAsia="ja-JP"/>
        </w:rPr>
        <w:t xml:space="preserve"> agreed in RAN1#96, scheduling PUSCH over multiple slots/mini-slots by single DCI supports at least multiple continuous PUSCHs with separate TBs in Rel-16 NR-U. In addition, it was also agreed that each TB is mapped to at most one slot/mini-slot. In other words, only scheme 1b was agreed.</w:t>
      </w:r>
    </w:p>
    <w:p w14:paraId="4A733E34" w14:textId="78B3145A" w:rsidR="0099562A" w:rsidRDefault="002C55DF" w:rsidP="00B31073">
      <w:pPr>
        <w:rPr>
          <w:lang w:eastAsia="ja-JP"/>
        </w:rPr>
      </w:pPr>
      <w:r>
        <w:rPr>
          <w:lang w:eastAsia="ja-JP"/>
        </w:rPr>
        <w:t>We need the discussion on how DCI indicates t</w:t>
      </w:r>
      <w:r w:rsidR="00B71BDA">
        <w:rPr>
          <w:lang w:eastAsia="ja-JP"/>
        </w:rPr>
        <w:t xml:space="preserve">o schedule multiple different TBs. </w:t>
      </w:r>
      <w:r w:rsidR="006355E5">
        <w:rPr>
          <w:lang w:eastAsia="ja-JP"/>
        </w:rPr>
        <w:t>A</w:t>
      </w:r>
      <w:r w:rsidR="00DA43F5">
        <w:rPr>
          <w:lang w:eastAsia="ja-JP"/>
        </w:rPr>
        <w:t xml:space="preserve">t least following information </w:t>
      </w:r>
      <w:r>
        <w:rPr>
          <w:lang w:eastAsia="ja-JP"/>
        </w:rPr>
        <w:t xml:space="preserve">is </w:t>
      </w:r>
      <w:r w:rsidR="006355E5">
        <w:rPr>
          <w:lang w:eastAsia="ja-JP"/>
        </w:rPr>
        <w:t>necessary</w:t>
      </w:r>
      <w:r w:rsidR="00DA43F5">
        <w:rPr>
          <w:lang w:eastAsia="ja-JP"/>
        </w:rPr>
        <w:t xml:space="preserve"> for each TB</w:t>
      </w:r>
      <w:r w:rsidR="00B71BDA">
        <w:rPr>
          <w:lang w:eastAsia="ja-JP"/>
        </w:rPr>
        <w:t>: Time Domain Resource Assignment (TDRA), New Data Indicator, HARQ proce</w:t>
      </w:r>
      <w:r w:rsidR="00182553">
        <w:rPr>
          <w:lang w:eastAsia="ja-JP"/>
        </w:rPr>
        <w:t xml:space="preserve">ss ID and CBG related handling if CBG is configured. </w:t>
      </w:r>
    </w:p>
    <w:p w14:paraId="4D723A98" w14:textId="6710F73B" w:rsidR="00B71BDA" w:rsidRDefault="00B71BDA" w:rsidP="00182553">
      <w:pPr>
        <w:rPr>
          <w:lang w:eastAsia="ja-JP"/>
        </w:rPr>
      </w:pPr>
      <w:r>
        <w:rPr>
          <w:lang w:eastAsia="ja-JP"/>
        </w:rPr>
        <w:t xml:space="preserve">For TDRA, </w:t>
      </w:r>
      <w:r w:rsidR="00DA43F5">
        <w:rPr>
          <w:lang w:eastAsia="ja-JP"/>
        </w:rPr>
        <w:t xml:space="preserve">whether some flexibilities are required or not would need to be discussed. </w:t>
      </w:r>
      <w:r w:rsidR="00B075A7">
        <w:rPr>
          <w:lang w:eastAsia="ja-JP"/>
        </w:rPr>
        <w:t xml:space="preserve">For example, </w:t>
      </w:r>
      <w:r w:rsidR="00DA43F5">
        <w:rPr>
          <w:lang w:eastAsia="ja-JP"/>
        </w:rPr>
        <w:t xml:space="preserve">at least </w:t>
      </w:r>
      <w:r w:rsidR="00B075A7">
        <w:rPr>
          <w:lang w:eastAsia="ja-JP"/>
        </w:rPr>
        <w:t xml:space="preserve">to indicate </w:t>
      </w:r>
      <w:r w:rsidR="00AC0C4C">
        <w:rPr>
          <w:lang w:eastAsia="ja-JP"/>
        </w:rPr>
        <w:t xml:space="preserve">the ending symbol </w:t>
      </w:r>
      <w:r w:rsidR="00B075A7">
        <w:rPr>
          <w:lang w:eastAsia="ja-JP"/>
        </w:rPr>
        <w:t xml:space="preserve">of the last TB </w:t>
      </w:r>
      <w:r w:rsidR="006355E5">
        <w:rPr>
          <w:lang w:eastAsia="ja-JP"/>
        </w:rPr>
        <w:t>is necessary</w:t>
      </w:r>
      <w:r w:rsidR="00B075A7">
        <w:rPr>
          <w:lang w:eastAsia="ja-JP"/>
        </w:rPr>
        <w:t xml:space="preserve">. It could </w:t>
      </w:r>
      <w:r w:rsidR="006355E5">
        <w:rPr>
          <w:lang w:eastAsia="ja-JP"/>
        </w:rPr>
        <w:t>be</w:t>
      </w:r>
      <w:r w:rsidR="00B075A7">
        <w:rPr>
          <w:lang w:eastAsia="ja-JP"/>
        </w:rPr>
        <w:t xml:space="preserve"> partial slot and </w:t>
      </w:r>
      <w:r w:rsidR="00481240">
        <w:rPr>
          <w:lang w:eastAsia="ja-JP"/>
        </w:rPr>
        <w:t xml:space="preserve">the unoccupied part within the slot could </w:t>
      </w:r>
      <w:r w:rsidR="00B075A7">
        <w:rPr>
          <w:lang w:eastAsia="ja-JP"/>
        </w:rPr>
        <w:t xml:space="preserve">be a gap where the channel could be </w:t>
      </w:r>
      <w:r w:rsidR="006355E5">
        <w:rPr>
          <w:lang w:eastAsia="ja-JP"/>
        </w:rPr>
        <w:t>used</w:t>
      </w:r>
      <w:r w:rsidR="00B075A7">
        <w:rPr>
          <w:lang w:eastAsia="ja-JP"/>
        </w:rPr>
        <w:t xml:space="preserve"> by another device. Also, it </w:t>
      </w:r>
      <w:r w:rsidR="00FA546D">
        <w:rPr>
          <w:lang w:eastAsia="ja-JP"/>
        </w:rPr>
        <w:t>would</w:t>
      </w:r>
      <w:r w:rsidR="00B075A7">
        <w:rPr>
          <w:lang w:eastAsia="ja-JP"/>
        </w:rPr>
        <w:t xml:space="preserve"> be necessary to address the difference </w:t>
      </w:r>
      <w:r w:rsidR="00BB2E81">
        <w:rPr>
          <w:lang w:eastAsia="ja-JP"/>
        </w:rPr>
        <w:t xml:space="preserve">of the </w:t>
      </w:r>
      <w:r w:rsidR="00BB2E81">
        <w:rPr>
          <w:lang w:eastAsia="ja-JP"/>
        </w:rPr>
        <w:lastRenderedPageBreak/>
        <w:t>assigned length/position in different slots by the single DCI</w:t>
      </w:r>
      <w:r w:rsidR="00182553">
        <w:rPr>
          <w:lang w:eastAsia="ja-JP"/>
        </w:rPr>
        <w:t xml:space="preserve">. </w:t>
      </w:r>
      <w:r w:rsidR="006355E5">
        <w:rPr>
          <w:lang w:eastAsia="ja-JP"/>
        </w:rPr>
        <w:t>Some of th</w:t>
      </w:r>
      <w:r w:rsidR="001F17DE">
        <w:rPr>
          <w:lang w:eastAsia="ja-JP"/>
        </w:rPr>
        <w:t xml:space="preserve">e symbols may be used by DRS, </w:t>
      </w:r>
      <w:r w:rsidR="006355E5">
        <w:rPr>
          <w:lang w:eastAsia="ja-JP"/>
        </w:rPr>
        <w:t>configured grant</w:t>
      </w:r>
      <w:r w:rsidR="001F17DE">
        <w:rPr>
          <w:lang w:eastAsia="ja-JP"/>
        </w:rPr>
        <w:t xml:space="preserve">, short PUCCH, </w:t>
      </w:r>
      <w:r w:rsidR="00AA10C1">
        <w:rPr>
          <w:lang w:eastAsia="ja-JP"/>
        </w:rPr>
        <w:t xml:space="preserve">PRACH </w:t>
      </w:r>
      <w:r w:rsidR="001F17DE">
        <w:rPr>
          <w:lang w:eastAsia="ja-JP"/>
        </w:rPr>
        <w:t>or SRS</w:t>
      </w:r>
      <w:r w:rsidR="006355E5">
        <w:rPr>
          <w:lang w:eastAsia="ja-JP"/>
        </w:rPr>
        <w:t>.</w:t>
      </w:r>
      <w:r w:rsidR="00CD6DAC">
        <w:rPr>
          <w:lang w:eastAsia="ja-JP"/>
        </w:rPr>
        <w:t xml:space="preserve"> Then just contiguous assignment over multiple slots are not sufficient.</w:t>
      </w:r>
    </w:p>
    <w:p w14:paraId="1E59F7BC" w14:textId="0468297F" w:rsidR="00795143" w:rsidRDefault="00182553" w:rsidP="00B31073">
      <w:pPr>
        <w:rPr>
          <w:lang w:eastAsia="ja-JP"/>
        </w:rPr>
      </w:pPr>
      <w:r>
        <w:rPr>
          <w:lang w:eastAsia="ja-JP"/>
        </w:rPr>
        <w:t>In addition</w:t>
      </w:r>
      <w:r w:rsidR="000E22AD">
        <w:rPr>
          <w:lang w:eastAsia="ja-JP"/>
        </w:rPr>
        <w:t xml:space="preserve">, HARQ related information of each TB, e.g. NDI and HARQ process ID, should be indicated. </w:t>
      </w:r>
      <w:r w:rsidR="00C929A5">
        <w:rPr>
          <w:lang w:eastAsia="ja-JP"/>
        </w:rPr>
        <w:t xml:space="preserve">If NDI and HARQ process ID are indicated for </w:t>
      </w:r>
      <w:r w:rsidR="00461CF2">
        <w:rPr>
          <w:lang w:eastAsia="ja-JP"/>
        </w:rPr>
        <w:t>each TB, UE understand</w:t>
      </w:r>
      <w:r w:rsidR="00BB075D">
        <w:rPr>
          <w:lang w:eastAsia="ja-JP"/>
        </w:rPr>
        <w:t>s</w:t>
      </w:r>
      <w:r w:rsidR="00461CF2">
        <w:rPr>
          <w:lang w:eastAsia="ja-JP"/>
        </w:rPr>
        <w:t xml:space="preserve"> which TB is failed correctly and gNB retransmit</w:t>
      </w:r>
      <w:r w:rsidR="00BB075D">
        <w:rPr>
          <w:lang w:eastAsia="ja-JP"/>
        </w:rPr>
        <w:t>s</w:t>
      </w:r>
      <w:r w:rsidR="00461CF2">
        <w:rPr>
          <w:lang w:eastAsia="ja-JP"/>
        </w:rPr>
        <w:t xml:space="preserve"> only the necessary TBs.</w:t>
      </w:r>
      <w:r w:rsidR="00D6519D">
        <w:rPr>
          <w:lang w:eastAsia="ja-JP"/>
        </w:rPr>
        <w:t xml:space="preserve"> Such method is efficient than to retransmit all </w:t>
      </w:r>
      <w:r w:rsidR="002E2756">
        <w:rPr>
          <w:lang w:eastAsia="ja-JP"/>
        </w:rPr>
        <w:t>TBs indicated by the single DCI.</w:t>
      </w:r>
      <w:r w:rsidR="00795143">
        <w:rPr>
          <w:lang w:eastAsia="ja-JP"/>
        </w:rPr>
        <w:t xml:space="preserve"> </w:t>
      </w:r>
    </w:p>
    <w:p w14:paraId="75905A36" w14:textId="10D9AE82" w:rsidR="00182553" w:rsidRDefault="00182553" w:rsidP="00B31073">
      <w:pPr>
        <w:rPr>
          <w:lang w:eastAsia="ja-JP"/>
        </w:rPr>
      </w:pPr>
      <w:r>
        <w:rPr>
          <w:lang w:eastAsia="ja-JP"/>
        </w:rPr>
        <w:t>O</w:t>
      </w:r>
      <w:r>
        <w:rPr>
          <w:rFonts w:hint="eastAsia"/>
          <w:lang w:eastAsia="ja-JP"/>
        </w:rPr>
        <w:t xml:space="preserve">n </w:t>
      </w:r>
      <w:r>
        <w:rPr>
          <w:lang w:eastAsia="ja-JP"/>
        </w:rPr>
        <w:t>the other hand, to indicate the information above for each TB would need more DCI overhead.</w:t>
      </w:r>
      <w:r w:rsidR="002747F2">
        <w:rPr>
          <w:lang w:eastAsia="ja-JP"/>
        </w:rPr>
        <w:t xml:space="preserve"> Therefore, some mechanism to reduce the overhead is necessary.</w:t>
      </w:r>
    </w:p>
    <w:p w14:paraId="051E9A41" w14:textId="68F4756B" w:rsidR="00B31073" w:rsidRDefault="00B31073" w:rsidP="00B31073">
      <w:pPr>
        <w:rPr>
          <w:lang w:eastAsia="ja-JP"/>
        </w:rPr>
      </w:pPr>
      <w:r>
        <w:rPr>
          <w:lang w:eastAsia="ja-JP"/>
        </w:rPr>
        <w:t>From above discussion, we would propose the following:</w:t>
      </w:r>
    </w:p>
    <w:p w14:paraId="051C64BB" w14:textId="1E82AFB5" w:rsidR="00D223A5" w:rsidRDefault="00B31073" w:rsidP="00B31073">
      <w:pPr>
        <w:rPr>
          <w:b/>
          <w:i/>
          <w:lang w:eastAsia="ja-JP"/>
        </w:rPr>
      </w:pPr>
      <w:bookmarkStart w:id="1" w:name="_Hlk534795126"/>
      <w:r w:rsidRPr="00A45C3C">
        <w:rPr>
          <w:b/>
          <w:i/>
          <w:lang w:eastAsia="ja-JP"/>
        </w:rPr>
        <w:t>Proposal</w:t>
      </w:r>
      <w:r w:rsidR="00542CB0">
        <w:rPr>
          <w:b/>
          <w:i/>
          <w:lang w:eastAsia="ja-JP"/>
        </w:rPr>
        <w:t xml:space="preserve"> </w:t>
      </w:r>
      <w:r w:rsidR="009544E3">
        <w:rPr>
          <w:b/>
          <w:i/>
          <w:lang w:eastAsia="ja-JP"/>
        </w:rPr>
        <w:t>3</w:t>
      </w:r>
      <w:r w:rsidRPr="00A45C3C">
        <w:rPr>
          <w:b/>
          <w:i/>
          <w:lang w:eastAsia="ja-JP"/>
        </w:rPr>
        <w:t xml:space="preserve">: </w:t>
      </w:r>
      <w:r w:rsidR="00D223A5">
        <w:rPr>
          <w:b/>
          <w:i/>
          <w:lang w:eastAsia="ja-JP"/>
        </w:rPr>
        <w:t>For scheduling multiple PUSCHs by single DCI, to indicate information related to followings would be required for each TB</w:t>
      </w:r>
      <w:r w:rsidR="00747755">
        <w:rPr>
          <w:b/>
          <w:i/>
          <w:lang w:eastAsia="ja-JP"/>
        </w:rPr>
        <w:t xml:space="preserve"> but overhead of DCI should be reduced</w:t>
      </w:r>
      <w:r w:rsidR="00D223A5">
        <w:rPr>
          <w:b/>
          <w:i/>
          <w:lang w:eastAsia="ja-JP"/>
        </w:rPr>
        <w:t>:</w:t>
      </w:r>
    </w:p>
    <w:p w14:paraId="0F63E5DC" w14:textId="77777777" w:rsidR="004111B0" w:rsidRDefault="00D223A5" w:rsidP="00435E0A">
      <w:pPr>
        <w:pStyle w:val="aff1"/>
        <w:numPr>
          <w:ilvl w:val="0"/>
          <w:numId w:val="40"/>
        </w:numPr>
        <w:ind w:leftChars="0"/>
        <w:rPr>
          <w:b/>
          <w:i/>
          <w:lang w:eastAsia="ja-JP"/>
        </w:rPr>
      </w:pPr>
      <w:r w:rsidRPr="00435E0A">
        <w:rPr>
          <w:b/>
          <w:i/>
          <w:lang w:eastAsia="ja-JP"/>
        </w:rPr>
        <w:t>New Data Indicator;</w:t>
      </w:r>
    </w:p>
    <w:p w14:paraId="6AF324EE" w14:textId="77777777" w:rsidR="004111B0" w:rsidRDefault="00D223A5" w:rsidP="00435E0A">
      <w:pPr>
        <w:pStyle w:val="aff1"/>
        <w:numPr>
          <w:ilvl w:val="0"/>
          <w:numId w:val="40"/>
        </w:numPr>
        <w:ind w:leftChars="0"/>
        <w:rPr>
          <w:b/>
          <w:i/>
          <w:lang w:eastAsia="ja-JP"/>
        </w:rPr>
      </w:pPr>
      <w:r w:rsidRPr="004111B0">
        <w:rPr>
          <w:b/>
          <w:i/>
          <w:lang w:eastAsia="ja-JP"/>
        </w:rPr>
        <w:t>HARQ process ID;</w:t>
      </w:r>
    </w:p>
    <w:p w14:paraId="3D62FD1C" w14:textId="01C12D4A" w:rsidR="00D223A5" w:rsidRPr="004111B0" w:rsidRDefault="00ED56C9" w:rsidP="00435E0A">
      <w:pPr>
        <w:pStyle w:val="aff1"/>
        <w:numPr>
          <w:ilvl w:val="0"/>
          <w:numId w:val="40"/>
        </w:numPr>
        <w:ind w:leftChars="0"/>
        <w:rPr>
          <w:b/>
          <w:i/>
          <w:lang w:eastAsia="ja-JP"/>
        </w:rPr>
      </w:pPr>
      <w:r w:rsidRPr="004111B0">
        <w:rPr>
          <w:b/>
          <w:i/>
          <w:lang w:eastAsia="ja-JP"/>
        </w:rPr>
        <w:t>CBG handling</w:t>
      </w:r>
    </w:p>
    <w:p w14:paraId="01784EB6" w14:textId="58CD7CC7" w:rsidR="00ED56C9" w:rsidRPr="00D223A5" w:rsidRDefault="00ED56C9" w:rsidP="00B31073">
      <w:pPr>
        <w:rPr>
          <w:b/>
          <w:i/>
          <w:lang w:eastAsia="ja-JP"/>
        </w:rPr>
      </w:pPr>
      <w:r>
        <w:rPr>
          <w:rFonts w:hint="eastAsia"/>
          <w:b/>
          <w:i/>
          <w:lang w:eastAsia="ja-JP"/>
        </w:rPr>
        <w:t>P</w:t>
      </w:r>
      <w:r>
        <w:rPr>
          <w:b/>
          <w:i/>
          <w:lang w:eastAsia="ja-JP"/>
        </w:rPr>
        <w:t xml:space="preserve">roposal </w:t>
      </w:r>
      <w:r w:rsidR="009544E3">
        <w:rPr>
          <w:b/>
          <w:i/>
          <w:lang w:eastAsia="ja-JP"/>
        </w:rPr>
        <w:t>4</w:t>
      </w:r>
      <w:r>
        <w:rPr>
          <w:b/>
          <w:i/>
          <w:lang w:eastAsia="ja-JP"/>
        </w:rPr>
        <w:t>:</w:t>
      </w:r>
      <w:r w:rsidR="00475EAA">
        <w:rPr>
          <w:b/>
          <w:i/>
          <w:lang w:eastAsia="ja-JP"/>
        </w:rPr>
        <w:t xml:space="preserve"> </w:t>
      </w:r>
      <w:r w:rsidR="00950891">
        <w:rPr>
          <w:b/>
          <w:i/>
          <w:lang w:eastAsia="ja-JP"/>
        </w:rPr>
        <w:t>F</w:t>
      </w:r>
      <w:r w:rsidR="00353ADE">
        <w:rPr>
          <w:b/>
          <w:i/>
          <w:lang w:eastAsia="ja-JP"/>
        </w:rPr>
        <w:t>or scheduling multiple PUSCHs by single DCI, s</w:t>
      </w:r>
      <w:r w:rsidR="00475EAA">
        <w:rPr>
          <w:b/>
          <w:i/>
          <w:lang w:eastAsia="ja-JP"/>
        </w:rPr>
        <w:t>ome flexibility is necessary for the time domain resource assignment instead of just contiguous number of slots</w:t>
      </w:r>
      <w:r w:rsidR="0032524B">
        <w:rPr>
          <w:b/>
          <w:i/>
          <w:lang w:eastAsia="ja-JP"/>
        </w:rPr>
        <w:t>.</w:t>
      </w:r>
    </w:p>
    <w:bookmarkEnd w:id="1"/>
    <w:p w14:paraId="13C3C571" w14:textId="77777777" w:rsidR="005D2E34" w:rsidRDefault="005D2E34" w:rsidP="00752334">
      <w:pPr>
        <w:rPr>
          <w:lang w:val="en-US" w:eastAsia="ja-JP"/>
        </w:rPr>
      </w:pPr>
    </w:p>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D02259" w14:textId="77777777" w:rsidR="009544E3" w:rsidRDefault="009544E3" w:rsidP="009544E3">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w:t>
      </w:r>
      <w:r>
        <w:rPr>
          <w:b/>
          <w:i/>
          <w:lang w:val="en-US" w:eastAsia="ja-JP"/>
        </w:rPr>
        <w:t>Dynamic HARQ codebook size determination only should be supported</w:t>
      </w:r>
      <w:r w:rsidRPr="002611FB">
        <w:rPr>
          <w:b/>
          <w:i/>
          <w:lang w:val="en-US" w:eastAsia="ja-JP"/>
        </w:rPr>
        <w:t xml:space="preserve">. </w:t>
      </w:r>
    </w:p>
    <w:p w14:paraId="0C9170C3" w14:textId="77777777" w:rsidR="009544E3" w:rsidRDefault="009544E3" w:rsidP="009544E3">
      <w:pPr>
        <w:rPr>
          <w:b/>
          <w:i/>
          <w:lang w:val="en-US" w:eastAsia="ja-JP"/>
        </w:rPr>
      </w:pPr>
      <w:r>
        <w:rPr>
          <w:rFonts w:hint="eastAsia"/>
          <w:b/>
          <w:i/>
          <w:lang w:val="en-US" w:eastAsia="ja-JP"/>
        </w:rPr>
        <w:t>Observation</w:t>
      </w:r>
      <w:r>
        <w:rPr>
          <w:b/>
          <w:i/>
          <w:lang w:val="en-US" w:eastAsia="ja-JP"/>
        </w:rPr>
        <w:t xml:space="preserve"> 1: For one-shot HARQ-ACK feedback trigger for all configured HARQ processes, there is a situation that the number of assigned PDSCH is different understanding between gNB and UE.</w:t>
      </w:r>
    </w:p>
    <w:p w14:paraId="7E3178A2" w14:textId="4DFD274E" w:rsidR="009544E3" w:rsidRPr="00481240" w:rsidRDefault="009544E3" w:rsidP="009544E3">
      <w:pPr>
        <w:rPr>
          <w:b/>
          <w:i/>
          <w:lang w:val="en-US" w:eastAsia="ja-JP"/>
        </w:rPr>
      </w:pPr>
      <w:r>
        <w:rPr>
          <w:b/>
          <w:i/>
          <w:lang w:val="en-US" w:eastAsia="ja-JP"/>
        </w:rPr>
        <w:t>Proposal 2: To avoid ambiguity on understanding of the number of triggered HARQ-ACK between gNB and UE, an indication of the number of HARQ-ACK like total DAI should be sent as a DCI to trigger additional HARQ-ACK in the later COT(s)</w:t>
      </w:r>
      <w:r w:rsidRPr="00540E1A">
        <w:rPr>
          <w:b/>
          <w:i/>
          <w:lang w:val="en-US" w:eastAsia="ja-JP"/>
        </w:rPr>
        <w:t>.</w:t>
      </w:r>
    </w:p>
    <w:p w14:paraId="7232B303" w14:textId="77777777" w:rsidR="00CA6E55" w:rsidRDefault="00CA6E55" w:rsidP="00CA6E55">
      <w:pPr>
        <w:rPr>
          <w:b/>
          <w:i/>
          <w:lang w:eastAsia="ja-JP"/>
        </w:rPr>
      </w:pPr>
      <w:r w:rsidRPr="00A45C3C">
        <w:rPr>
          <w:b/>
          <w:i/>
          <w:lang w:eastAsia="ja-JP"/>
        </w:rPr>
        <w:t>Proposal</w:t>
      </w:r>
      <w:r>
        <w:rPr>
          <w:b/>
          <w:i/>
          <w:lang w:eastAsia="ja-JP"/>
        </w:rPr>
        <w:t xml:space="preserve"> 3</w:t>
      </w:r>
      <w:r w:rsidRPr="00A45C3C">
        <w:rPr>
          <w:b/>
          <w:i/>
          <w:lang w:eastAsia="ja-JP"/>
        </w:rPr>
        <w:t xml:space="preserve">: </w:t>
      </w:r>
      <w:r>
        <w:rPr>
          <w:b/>
          <w:i/>
          <w:lang w:eastAsia="ja-JP"/>
        </w:rPr>
        <w:t>For scheduling multiple PUSCHs by single DCI, to indicate information related to followings would be required for each TB but overhead of DCI should be reduced:</w:t>
      </w:r>
    </w:p>
    <w:p w14:paraId="1E0A6457" w14:textId="77777777" w:rsidR="00CA6E55" w:rsidRDefault="00CA6E55" w:rsidP="00CA6E55">
      <w:pPr>
        <w:pStyle w:val="aff1"/>
        <w:numPr>
          <w:ilvl w:val="0"/>
          <w:numId w:val="40"/>
        </w:numPr>
        <w:ind w:leftChars="0"/>
        <w:rPr>
          <w:b/>
          <w:i/>
          <w:lang w:eastAsia="ja-JP"/>
        </w:rPr>
      </w:pPr>
      <w:r w:rsidRPr="00435E0A">
        <w:rPr>
          <w:b/>
          <w:i/>
          <w:lang w:eastAsia="ja-JP"/>
        </w:rPr>
        <w:t>New Data Indicator;</w:t>
      </w:r>
    </w:p>
    <w:p w14:paraId="0FB826F7" w14:textId="77777777" w:rsidR="00CA6E55" w:rsidRDefault="00CA6E55" w:rsidP="00CA6E55">
      <w:pPr>
        <w:pStyle w:val="aff1"/>
        <w:numPr>
          <w:ilvl w:val="0"/>
          <w:numId w:val="40"/>
        </w:numPr>
        <w:ind w:leftChars="0"/>
        <w:rPr>
          <w:b/>
          <w:i/>
          <w:lang w:eastAsia="ja-JP"/>
        </w:rPr>
      </w:pPr>
      <w:r w:rsidRPr="004111B0">
        <w:rPr>
          <w:b/>
          <w:i/>
          <w:lang w:eastAsia="ja-JP"/>
        </w:rPr>
        <w:t>HARQ process ID;</w:t>
      </w:r>
    </w:p>
    <w:p w14:paraId="26BB7E8A" w14:textId="77777777" w:rsidR="00CA6E55" w:rsidRPr="004111B0" w:rsidRDefault="00CA6E55" w:rsidP="00CA6E55">
      <w:pPr>
        <w:pStyle w:val="aff1"/>
        <w:numPr>
          <w:ilvl w:val="0"/>
          <w:numId w:val="40"/>
        </w:numPr>
        <w:ind w:leftChars="0"/>
        <w:rPr>
          <w:b/>
          <w:i/>
          <w:lang w:eastAsia="ja-JP"/>
        </w:rPr>
      </w:pPr>
      <w:r w:rsidRPr="004111B0">
        <w:rPr>
          <w:b/>
          <w:i/>
          <w:lang w:eastAsia="ja-JP"/>
        </w:rPr>
        <w:t>CBG handling</w:t>
      </w:r>
    </w:p>
    <w:p w14:paraId="01F23F71" w14:textId="77777777" w:rsidR="00CA6E55" w:rsidRPr="00D223A5" w:rsidRDefault="00CA6E55" w:rsidP="00CA6E55">
      <w:pPr>
        <w:rPr>
          <w:b/>
          <w:i/>
          <w:lang w:eastAsia="ja-JP"/>
        </w:rPr>
      </w:pPr>
      <w:r>
        <w:rPr>
          <w:rFonts w:hint="eastAsia"/>
          <w:b/>
          <w:i/>
          <w:lang w:eastAsia="ja-JP"/>
        </w:rPr>
        <w:t>P</w:t>
      </w:r>
      <w:r>
        <w:rPr>
          <w:b/>
          <w:i/>
          <w:lang w:eastAsia="ja-JP"/>
        </w:rPr>
        <w:t>roposal 4: For scheduling multiple PUSCHs by single DCI, some flexibility is necessary for the time domain resource assignment instead of just contiguous number of slots.</w:t>
      </w:r>
    </w:p>
    <w:p w14:paraId="190F1256" w14:textId="38149032" w:rsidR="0006331F" w:rsidRPr="00542CB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FB946D5" w14:textId="22FA461C" w:rsidR="00E30C58" w:rsidRDefault="00E30C58" w:rsidP="00047FE6">
      <w:pPr>
        <w:tabs>
          <w:tab w:val="left" w:pos="4008"/>
        </w:tabs>
        <w:spacing w:before="120" w:after="120"/>
        <w:rPr>
          <w:rFonts w:eastAsiaTheme="minorEastAsia"/>
          <w:lang w:eastAsia="ja-JP"/>
        </w:rPr>
      </w:pPr>
      <w:r>
        <w:rPr>
          <w:rFonts w:eastAsiaTheme="minorEastAsia" w:hint="eastAsia"/>
          <w:lang w:eastAsia="ja-JP"/>
        </w:rPr>
        <w:t xml:space="preserve">[1] </w:t>
      </w:r>
      <w:r>
        <w:rPr>
          <w:rFonts w:eastAsiaTheme="minorEastAsia"/>
          <w:lang w:eastAsia="ja-JP"/>
        </w:rPr>
        <w:t xml:space="preserve">R1-1900240, </w:t>
      </w:r>
      <w:r w:rsidRPr="00E30C58">
        <w:rPr>
          <w:rFonts w:eastAsiaTheme="minorEastAsia"/>
          <w:lang w:eastAsia="ja-JP"/>
        </w:rPr>
        <w:t>NR-U UL signals and channels</w:t>
      </w:r>
      <w:r>
        <w:rPr>
          <w:rFonts w:eastAsiaTheme="minorEastAsia"/>
          <w:lang w:eastAsia="ja-JP"/>
        </w:rPr>
        <w:t>, Panasonic</w:t>
      </w:r>
    </w:p>
    <w:p w14:paraId="76607151" w14:textId="1CE01C2C" w:rsidR="003768D9" w:rsidRDefault="003768D9" w:rsidP="00047FE6">
      <w:pPr>
        <w:tabs>
          <w:tab w:val="left" w:pos="4008"/>
        </w:tabs>
        <w:spacing w:before="120" w:after="120"/>
        <w:rPr>
          <w:rFonts w:eastAsiaTheme="minorEastAsia"/>
          <w:lang w:eastAsia="ja-JP"/>
        </w:rPr>
      </w:pPr>
      <w:r>
        <w:rPr>
          <w:rFonts w:eastAsiaTheme="minorEastAsia"/>
          <w:lang w:eastAsia="ja-JP"/>
        </w:rPr>
        <w:t xml:space="preserve">[2] </w:t>
      </w:r>
      <w:r w:rsidRPr="003768D9">
        <w:rPr>
          <w:rFonts w:eastAsiaTheme="minorEastAsia"/>
          <w:lang w:eastAsia="ja-JP"/>
        </w:rPr>
        <w:t>R1-1902885</w:t>
      </w:r>
      <w:r>
        <w:rPr>
          <w:rFonts w:eastAsiaTheme="minorEastAsia"/>
          <w:lang w:eastAsia="ja-JP"/>
        </w:rPr>
        <w:t xml:space="preserve">, </w:t>
      </w:r>
      <w:r w:rsidRPr="003768D9">
        <w:rPr>
          <w:rFonts w:eastAsiaTheme="minorEastAsia"/>
          <w:lang w:eastAsia="ja-JP"/>
        </w:rPr>
        <w:t>Poten</w:t>
      </w:r>
      <w:r>
        <w:rPr>
          <w:rFonts w:eastAsiaTheme="minorEastAsia"/>
          <w:lang w:eastAsia="ja-JP"/>
        </w:rPr>
        <w:t xml:space="preserve">tial HARQ enhancements for NR-U, </w:t>
      </w:r>
      <w:r w:rsidRPr="003768D9">
        <w:rPr>
          <w:rFonts w:eastAsiaTheme="minorEastAsia"/>
          <w:lang w:eastAsia="ja-JP"/>
        </w:rPr>
        <w:t>Ericsson</w:t>
      </w:r>
    </w:p>
    <w:p w14:paraId="5CA57729" w14:textId="2FDB924E" w:rsidR="003768D9" w:rsidRPr="00293D68" w:rsidRDefault="003768D9" w:rsidP="00047FE6">
      <w:pPr>
        <w:tabs>
          <w:tab w:val="left" w:pos="4008"/>
        </w:tabs>
        <w:spacing w:before="120" w:after="120"/>
        <w:rPr>
          <w:rFonts w:eastAsiaTheme="minorEastAsia"/>
          <w:lang w:val="en-US" w:eastAsia="ja-JP"/>
        </w:rPr>
      </w:pPr>
      <w:r>
        <w:rPr>
          <w:rFonts w:eastAsiaTheme="minorEastAsia"/>
          <w:lang w:eastAsia="ja-JP"/>
        </w:rPr>
        <w:t xml:space="preserve">[3] </w:t>
      </w:r>
      <w:r w:rsidRPr="003768D9">
        <w:rPr>
          <w:rFonts w:eastAsiaTheme="minorEastAsia"/>
          <w:lang w:eastAsia="ja-JP"/>
        </w:rPr>
        <w:t>R1-1901800</w:t>
      </w:r>
      <w:r>
        <w:rPr>
          <w:rFonts w:eastAsiaTheme="minorEastAsia"/>
          <w:lang w:eastAsia="ja-JP"/>
        </w:rPr>
        <w:t xml:space="preserve">, </w:t>
      </w:r>
      <w:r w:rsidRPr="003768D9">
        <w:rPr>
          <w:rFonts w:eastAsiaTheme="minorEastAsia"/>
          <w:lang w:eastAsia="ja-JP"/>
        </w:rPr>
        <w:t>Enhancements to HARQ for NR-U operation</w:t>
      </w:r>
      <w:r>
        <w:rPr>
          <w:rFonts w:eastAsiaTheme="minorEastAsia"/>
          <w:lang w:eastAsia="ja-JP"/>
        </w:rPr>
        <w:t xml:space="preserve">, </w:t>
      </w:r>
      <w:r w:rsidRPr="003768D9">
        <w:rPr>
          <w:rFonts w:eastAsiaTheme="minorEastAsia"/>
          <w:lang w:eastAsia="ja-JP"/>
        </w:rPr>
        <w:t>MediaTek Inc.</w:t>
      </w:r>
    </w:p>
    <w:p w14:paraId="28896068" w14:textId="25473BFA" w:rsidR="00047FE6" w:rsidRDefault="00047FE6" w:rsidP="00047FE6">
      <w:pPr>
        <w:tabs>
          <w:tab w:val="left" w:pos="4008"/>
        </w:tabs>
        <w:spacing w:before="120" w:after="120"/>
        <w:rPr>
          <w:lang w:eastAsia="ja-JP"/>
        </w:rPr>
      </w:pPr>
      <w:r>
        <w:rPr>
          <w:rFonts w:eastAsiaTheme="minorEastAsia"/>
          <w:lang w:eastAsia="ja-JP"/>
        </w:rPr>
        <w:t>[</w:t>
      </w:r>
      <w:r w:rsidR="003768D9">
        <w:rPr>
          <w:rFonts w:eastAsiaTheme="minorEastAsia"/>
          <w:lang w:eastAsia="ja-JP"/>
        </w:rPr>
        <w:t>4</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lastRenderedPageBreak/>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2" w:name="OLE_LINK20"/>
            <w:r w:rsidRPr="004108E1">
              <w:rPr>
                <w:lang w:val="en-US" w:eastAsia="x-none"/>
              </w:rPr>
              <w:t>HARQ feedback corresponding to some or all the PDSCHs of a channel occupancy can be reported in the same channel occupancy</w:t>
            </w:r>
            <w:bookmarkEnd w:id="2"/>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lastRenderedPageBreak/>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lastRenderedPageBreak/>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0F4F71">
            <w:pPr>
              <w:numPr>
                <w:ilvl w:val="0"/>
                <w:numId w:val="36"/>
              </w:numPr>
              <w:spacing w:after="0"/>
              <w:rPr>
                <w:rFonts w:ascii="Times" w:eastAsia="Batang" w:hAnsi="Times" w:cs="Times"/>
                <w:bCs/>
                <w:lang w:eastAsia="x-none"/>
              </w:rPr>
            </w:pPr>
            <w:r w:rsidRPr="000F4F71">
              <w:rPr>
                <w:rFonts w:ascii="Times" w:eastAsia="Batang" w:hAnsi="Time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17BA7BE4" w14:textId="77777777" w:rsidR="00073A48" w:rsidRDefault="00073A48" w:rsidP="00073A48">
            <w:pPr>
              <w:rPr>
                <w:lang w:eastAsia="x-none"/>
              </w:rPr>
            </w:pPr>
            <w:r w:rsidRPr="00B0796C">
              <w:rPr>
                <w:highlight w:val="green"/>
                <w:lang w:eastAsia="x-none"/>
              </w:rPr>
              <w:lastRenderedPageBreak/>
              <w:t>Agreement:</w:t>
            </w:r>
          </w:p>
          <w:p w14:paraId="682F91CC" w14:textId="77777777" w:rsidR="00073A48" w:rsidRDefault="00073A48" w:rsidP="00073A48">
            <w:pPr>
              <w:rPr>
                <w:lang w:eastAsia="x-none"/>
              </w:rPr>
            </w:pPr>
            <w:r>
              <w:rPr>
                <w:lang w:eastAsia="x-none"/>
              </w:rPr>
              <w:t>Scheduling PUSCH over multiple slots/mini-slots by single DCI supports at least multiple continuous PUSCHs with separate TBs</w:t>
            </w:r>
          </w:p>
          <w:p w14:paraId="03F93341" w14:textId="77777777" w:rsidR="00073A48" w:rsidRDefault="00073A48" w:rsidP="00073A48">
            <w:pPr>
              <w:numPr>
                <w:ilvl w:val="0"/>
                <w:numId w:val="39"/>
              </w:numPr>
              <w:spacing w:after="0"/>
              <w:rPr>
                <w:lang w:eastAsia="x-none"/>
              </w:rPr>
            </w:pPr>
            <w:r>
              <w:rPr>
                <w:lang w:eastAsia="x-none"/>
              </w:rPr>
              <w:t>Each TB is mapped to at most one slot or one mini-slot</w:t>
            </w:r>
          </w:p>
          <w:p w14:paraId="34EE8AB8" w14:textId="77777777" w:rsidR="00073A48" w:rsidRPr="00073A48" w:rsidRDefault="00073A48" w:rsidP="005F28B0">
            <w:pPr>
              <w:rPr>
                <w:lang w:eastAsia="ja-JP"/>
              </w:rPr>
            </w:pPr>
          </w:p>
        </w:tc>
      </w:tr>
    </w:tbl>
    <w:p w14:paraId="3E531FD6" w14:textId="77777777" w:rsidR="00073A48" w:rsidRDefault="00073A48" w:rsidP="005F28B0">
      <w:pPr>
        <w:rPr>
          <w:lang w:eastAsia="ja-JP"/>
        </w:rPr>
      </w:pPr>
    </w:p>
    <w:sectPr w:rsidR="00073A4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842D2" w14:textId="77777777" w:rsidR="00BF50C7" w:rsidRDefault="00BF50C7">
      <w:r>
        <w:separator/>
      </w:r>
    </w:p>
  </w:endnote>
  <w:endnote w:type="continuationSeparator" w:id="0">
    <w:p w14:paraId="6FE961AC" w14:textId="77777777" w:rsidR="00BF50C7" w:rsidRDefault="00BF50C7">
      <w:r>
        <w:continuationSeparator/>
      </w:r>
    </w:p>
  </w:endnote>
  <w:endnote w:type="continuationNotice" w:id="1">
    <w:p w14:paraId="3F1D1B11" w14:textId="77777777" w:rsidR="00BF50C7" w:rsidRDefault="00BF5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AE67B" w14:textId="77777777" w:rsidR="00BF50C7" w:rsidRDefault="00BF50C7">
      <w:r>
        <w:separator/>
      </w:r>
    </w:p>
  </w:footnote>
  <w:footnote w:type="continuationSeparator" w:id="0">
    <w:p w14:paraId="1BC6E6AF" w14:textId="77777777" w:rsidR="00BF50C7" w:rsidRDefault="00BF50C7">
      <w:r>
        <w:continuationSeparator/>
      </w:r>
    </w:p>
  </w:footnote>
  <w:footnote w:type="continuationNotice" w:id="1">
    <w:p w14:paraId="7FE67890" w14:textId="77777777" w:rsidR="00BF50C7" w:rsidRDefault="00BF5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FD517C6"/>
    <w:multiLevelType w:val="hybridMultilevel"/>
    <w:tmpl w:val="6C6243C0"/>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38"/>
  </w:num>
  <w:num w:numId="3">
    <w:abstractNumId w:val="18"/>
  </w:num>
  <w:num w:numId="4">
    <w:abstractNumId w:val="31"/>
  </w:num>
  <w:num w:numId="5">
    <w:abstractNumId w:val="24"/>
  </w:num>
  <w:num w:numId="6">
    <w:abstractNumId w:val="25"/>
  </w:num>
  <w:num w:numId="7">
    <w:abstractNumId w:val="21"/>
  </w:num>
  <w:num w:numId="8">
    <w:abstractNumId w:val="36"/>
  </w:num>
  <w:num w:numId="9">
    <w:abstractNumId w:val="15"/>
  </w:num>
  <w:num w:numId="10">
    <w:abstractNumId w:val="30"/>
  </w:num>
  <w:num w:numId="11">
    <w:abstractNumId w:val="29"/>
  </w:num>
  <w:num w:numId="12">
    <w:abstractNumId w:val="7"/>
  </w:num>
  <w:num w:numId="13">
    <w:abstractNumId w:val="14"/>
  </w:num>
  <w:num w:numId="14">
    <w:abstractNumId w:val="8"/>
  </w:num>
  <w:num w:numId="15">
    <w:abstractNumId w:val="11"/>
  </w:num>
  <w:num w:numId="16">
    <w:abstractNumId w:val="3"/>
  </w:num>
  <w:num w:numId="17">
    <w:abstractNumId w:val="13"/>
  </w:num>
  <w:num w:numId="18">
    <w:abstractNumId w:val="12"/>
  </w:num>
  <w:num w:numId="19">
    <w:abstractNumId w:val="17"/>
  </w:num>
  <w:num w:numId="20">
    <w:abstractNumId w:val="26"/>
  </w:num>
  <w:num w:numId="21">
    <w:abstractNumId w:val="0"/>
  </w:num>
  <w:num w:numId="22">
    <w:abstractNumId w:val="37"/>
  </w:num>
  <w:num w:numId="23">
    <w:abstractNumId w:val="20"/>
  </w:num>
  <w:num w:numId="24">
    <w:abstractNumId w:val="10"/>
  </w:num>
  <w:num w:numId="25">
    <w:abstractNumId w:val="34"/>
  </w:num>
  <w:num w:numId="26">
    <w:abstractNumId w:val="6"/>
  </w:num>
  <w:num w:numId="27">
    <w:abstractNumId w:val="4"/>
  </w:num>
  <w:num w:numId="28">
    <w:abstractNumId w:val="16"/>
  </w:num>
  <w:num w:numId="29">
    <w:abstractNumId w:val="19"/>
  </w:num>
  <w:num w:numId="30">
    <w:abstractNumId w:val="33"/>
  </w:num>
  <w:num w:numId="31">
    <w:abstractNumId w:val="28"/>
  </w:num>
  <w:num w:numId="32">
    <w:abstractNumId w:val="5"/>
  </w:num>
  <w:num w:numId="33">
    <w:abstractNumId w:val="2"/>
  </w:num>
  <w:num w:numId="34">
    <w:abstractNumId w:val="27"/>
  </w:num>
  <w:num w:numId="35">
    <w:abstractNumId w:val="1"/>
  </w:num>
  <w:num w:numId="36">
    <w:abstractNumId w:val="5"/>
  </w:num>
  <w:num w:numId="37">
    <w:abstractNumId w:val="23"/>
  </w:num>
  <w:num w:numId="38">
    <w:abstractNumId w:val="22"/>
  </w:num>
  <w:num w:numId="39">
    <w:abstractNumId w:val="9"/>
  </w:num>
  <w:num w:numId="4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482A"/>
    <w:rsid w:val="000054F7"/>
    <w:rsid w:val="00005BA8"/>
    <w:rsid w:val="00006987"/>
    <w:rsid w:val="000069D6"/>
    <w:rsid w:val="00006F07"/>
    <w:rsid w:val="000071A7"/>
    <w:rsid w:val="000071DC"/>
    <w:rsid w:val="00007483"/>
    <w:rsid w:val="00010D87"/>
    <w:rsid w:val="0001175D"/>
    <w:rsid w:val="0001187E"/>
    <w:rsid w:val="00011D9F"/>
    <w:rsid w:val="00011F63"/>
    <w:rsid w:val="00013795"/>
    <w:rsid w:val="00013CE7"/>
    <w:rsid w:val="00013E6F"/>
    <w:rsid w:val="00014051"/>
    <w:rsid w:val="0001480E"/>
    <w:rsid w:val="000150E7"/>
    <w:rsid w:val="00015BBE"/>
    <w:rsid w:val="00016A9F"/>
    <w:rsid w:val="0001728A"/>
    <w:rsid w:val="00017972"/>
    <w:rsid w:val="00020033"/>
    <w:rsid w:val="00020117"/>
    <w:rsid w:val="000201FC"/>
    <w:rsid w:val="00020386"/>
    <w:rsid w:val="000206CA"/>
    <w:rsid w:val="00020753"/>
    <w:rsid w:val="00020A07"/>
    <w:rsid w:val="00020EA3"/>
    <w:rsid w:val="0002111A"/>
    <w:rsid w:val="000215FD"/>
    <w:rsid w:val="00021CF5"/>
    <w:rsid w:val="00022AAF"/>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661"/>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B71"/>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5DF"/>
    <w:rsid w:val="000F6BC1"/>
    <w:rsid w:val="000F72C1"/>
    <w:rsid w:val="000F766C"/>
    <w:rsid w:val="000F7713"/>
    <w:rsid w:val="0010053A"/>
    <w:rsid w:val="00100CDE"/>
    <w:rsid w:val="00101022"/>
    <w:rsid w:val="00101155"/>
    <w:rsid w:val="00101300"/>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13C"/>
    <w:rsid w:val="0011542C"/>
    <w:rsid w:val="00115963"/>
    <w:rsid w:val="0011602B"/>
    <w:rsid w:val="0011678B"/>
    <w:rsid w:val="001168DF"/>
    <w:rsid w:val="00116C10"/>
    <w:rsid w:val="00117194"/>
    <w:rsid w:val="00117F83"/>
    <w:rsid w:val="00120603"/>
    <w:rsid w:val="0012127A"/>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53"/>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47B"/>
    <w:rsid w:val="001C2D55"/>
    <w:rsid w:val="001C2DC0"/>
    <w:rsid w:val="001C3363"/>
    <w:rsid w:val="001C3850"/>
    <w:rsid w:val="001C39C2"/>
    <w:rsid w:val="001C4FC0"/>
    <w:rsid w:val="001C5988"/>
    <w:rsid w:val="001C5CA7"/>
    <w:rsid w:val="001D0C92"/>
    <w:rsid w:val="001D0E47"/>
    <w:rsid w:val="001D0EC7"/>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2CF5"/>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7DE"/>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608"/>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7F2"/>
    <w:rsid w:val="00274C57"/>
    <w:rsid w:val="00275A33"/>
    <w:rsid w:val="00276254"/>
    <w:rsid w:val="00276E11"/>
    <w:rsid w:val="00276E89"/>
    <w:rsid w:val="00277238"/>
    <w:rsid w:val="00277E55"/>
    <w:rsid w:val="002807E4"/>
    <w:rsid w:val="002809CD"/>
    <w:rsid w:val="0028164A"/>
    <w:rsid w:val="00281FB7"/>
    <w:rsid w:val="002824F7"/>
    <w:rsid w:val="00283225"/>
    <w:rsid w:val="002837B7"/>
    <w:rsid w:val="0028393C"/>
    <w:rsid w:val="002839BD"/>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98D"/>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5DF"/>
    <w:rsid w:val="002C595E"/>
    <w:rsid w:val="002C5B49"/>
    <w:rsid w:val="002C641C"/>
    <w:rsid w:val="002C7509"/>
    <w:rsid w:val="002C7DA3"/>
    <w:rsid w:val="002D01A0"/>
    <w:rsid w:val="002D15B8"/>
    <w:rsid w:val="002D16D2"/>
    <w:rsid w:val="002D1E7F"/>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756"/>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24F"/>
    <w:rsid w:val="0030157F"/>
    <w:rsid w:val="00301BCA"/>
    <w:rsid w:val="00301CC9"/>
    <w:rsid w:val="00302C4D"/>
    <w:rsid w:val="00303142"/>
    <w:rsid w:val="00303A58"/>
    <w:rsid w:val="00303CCD"/>
    <w:rsid w:val="003046ED"/>
    <w:rsid w:val="003046F4"/>
    <w:rsid w:val="00304C1C"/>
    <w:rsid w:val="00304E10"/>
    <w:rsid w:val="0030520F"/>
    <w:rsid w:val="0030540E"/>
    <w:rsid w:val="00305DC4"/>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24B"/>
    <w:rsid w:val="003256F6"/>
    <w:rsid w:val="00325A1C"/>
    <w:rsid w:val="003265CB"/>
    <w:rsid w:val="0032688B"/>
    <w:rsid w:val="00326A0A"/>
    <w:rsid w:val="00327021"/>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5E04"/>
    <w:rsid w:val="00346B73"/>
    <w:rsid w:val="003472E6"/>
    <w:rsid w:val="00347831"/>
    <w:rsid w:val="00347DFA"/>
    <w:rsid w:val="00347F65"/>
    <w:rsid w:val="00347F6B"/>
    <w:rsid w:val="0035062B"/>
    <w:rsid w:val="00350815"/>
    <w:rsid w:val="00350CD1"/>
    <w:rsid w:val="00351FCB"/>
    <w:rsid w:val="00352260"/>
    <w:rsid w:val="00353ADE"/>
    <w:rsid w:val="00354C4B"/>
    <w:rsid w:val="00354CD8"/>
    <w:rsid w:val="0035546D"/>
    <w:rsid w:val="00356C5A"/>
    <w:rsid w:val="00356DEE"/>
    <w:rsid w:val="003576D3"/>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74"/>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68D9"/>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0C6"/>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14"/>
    <w:rsid w:val="003F28C6"/>
    <w:rsid w:val="003F330C"/>
    <w:rsid w:val="003F3D28"/>
    <w:rsid w:val="003F489A"/>
    <w:rsid w:val="003F49B3"/>
    <w:rsid w:val="003F4C7C"/>
    <w:rsid w:val="003F4CE9"/>
    <w:rsid w:val="003F50B7"/>
    <w:rsid w:val="003F54FE"/>
    <w:rsid w:val="003F6D49"/>
    <w:rsid w:val="003F6F52"/>
    <w:rsid w:val="003F7C34"/>
    <w:rsid w:val="004003D5"/>
    <w:rsid w:val="00400773"/>
    <w:rsid w:val="00400B59"/>
    <w:rsid w:val="00400C3F"/>
    <w:rsid w:val="00400CCA"/>
    <w:rsid w:val="00400ED6"/>
    <w:rsid w:val="00401213"/>
    <w:rsid w:val="00401416"/>
    <w:rsid w:val="00401F53"/>
    <w:rsid w:val="00402FC7"/>
    <w:rsid w:val="004034D6"/>
    <w:rsid w:val="004036E8"/>
    <w:rsid w:val="00403722"/>
    <w:rsid w:val="004037BE"/>
    <w:rsid w:val="0040382E"/>
    <w:rsid w:val="004041F8"/>
    <w:rsid w:val="00404D4E"/>
    <w:rsid w:val="0040549E"/>
    <w:rsid w:val="004055F5"/>
    <w:rsid w:val="00407165"/>
    <w:rsid w:val="00407F2A"/>
    <w:rsid w:val="00407F83"/>
    <w:rsid w:val="00410EED"/>
    <w:rsid w:val="004111B0"/>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8E1"/>
    <w:rsid w:val="00435E0A"/>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1CF2"/>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5EAA"/>
    <w:rsid w:val="00475ED5"/>
    <w:rsid w:val="00476E9A"/>
    <w:rsid w:val="0047719C"/>
    <w:rsid w:val="004771A6"/>
    <w:rsid w:val="00480888"/>
    <w:rsid w:val="0048088F"/>
    <w:rsid w:val="0048098F"/>
    <w:rsid w:val="00481240"/>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C"/>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0E1A"/>
    <w:rsid w:val="00541B22"/>
    <w:rsid w:val="00541EE9"/>
    <w:rsid w:val="00542024"/>
    <w:rsid w:val="00542A21"/>
    <w:rsid w:val="00542A79"/>
    <w:rsid w:val="00542CB0"/>
    <w:rsid w:val="00542F31"/>
    <w:rsid w:val="005437E4"/>
    <w:rsid w:val="00543A7A"/>
    <w:rsid w:val="00543BB0"/>
    <w:rsid w:val="00543CEF"/>
    <w:rsid w:val="00543D31"/>
    <w:rsid w:val="005450AA"/>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0BE8"/>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0E"/>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C5"/>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55D"/>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0721"/>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5E5"/>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3060"/>
    <w:rsid w:val="006F3B59"/>
    <w:rsid w:val="006F4963"/>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6B12"/>
    <w:rsid w:val="00706E92"/>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4EB1"/>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6FB8"/>
    <w:rsid w:val="007476AA"/>
    <w:rsid w:val="00747755"/>
    <w:rsid w:val="00747F73"/>
    <w:rsid w:val="00750098"/>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04E"/>
    <w:rsid w:val="007745D4"/>
    <w:rsid w:val="00774714"/>
    <w:rsid w:val="00775639"/>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43"/>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496"/>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2CAF"/>
    <w:rsid w:val="0083377C"/>
    <w:rsid w:val="0083388A"/>
    <w:rsid w:val="008345DE"/>
    <w:rsid w:val="008347C5"/>
    <w:rsid w:val="00835FB0"/>
    <w:rsid w:val="008362B1"/>
    <w:rsid w:val="0083634B"/>
    <w:rsid w:val="008368D2"/>
    <w:rsid w:val="00836C3E"/>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202C"/>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28"/>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0891"/>
    <w:rsid w:val="009517D0"/>
    <w:rsid w:val="009517FE"/>
    <w:rsid w:val="009529CD"/>
    <w:rsid w:val="00952B91"/>
    <w:rsid w:val="00953F31"/>
    <w:rsid w:val="009542D7"/>
    <w:rsid w:val="009544E3"/>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0D60"/>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6FF4"/>
    <w:rsid w:val="009973B1"/>
    <w:rsid w:val="009978D9"/>
    <w:rsid w:val="00997D96"/>
    <w:rsid w:val="00997DA4"/>
    <w:rsid w:val="00997DEF"/>
    <w:rsid w:val="009A0B90"/>
    <w:rsid w:val="009A0E5F"/>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2EA"/>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6E"/>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4F0D"/>
    <w:rsid w:val="00A15DE0"/>
    <w:rsid w:val="00A15EE0"/>
    <w:rsid w:val="00A1733B"/>
    <w:rsid w:val="00A2087F"/>
    <w:rsid w:val="00A20A00"/>
    <w:rsid w:val="00A21404"/>
    <w:rsid w:val="00A22760"/>
    <w:rsid w:val="00A22C84"/>
    <w:rsid w:val="00A2375D"/>
    <w:rsid w:val="00A237EB"/>
    <w:rsid w:val="00A237F3"/>
    <w:rsid w:val="00A24D21"/>
    <w:rsid w:val="00A2523C"/>
    <w:rsid w:val="00A25653"/>
    <w:rsid w:val="00A25981"/>
    <w:rsid w:val="00A261FD"/>
    <w:rsid w:val="00A27DE7"/>
    <w:rsid w:val="00A3032D"/>
    <w:rsid w:val="00A30635"/>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AA2"/>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CEE"/>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0C1"/>
    <w:rsid w:val="00AA1129"/>
    <w:rsid w:val="00AA1299"/>
    <w:rsid w:val="00AA1596"/>
    <w:rsid w:val="00AA1886"/>
    <w:rsid w:val="00AA1F16"/>
    <w:rsid w:val="00AA2055"/>
    <w:rsid w:val="00AA2BAA"/>
    <w:rsid w:val="00AA2D99"/>
    <w:rsid w:val="00AA331B"/>
    <w:rsid w:val="00AA3545"/>
    <w:rsid w:val="00AA4158"/>
    <w:rsid w:val="00AA51D4"/>
    <w:rsid w:val="00AA54ED"/>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C4C"/>
    <w:rsid w:val="00AC0D45"/>
    <w:rsid w:val="00AC0F07"/>
    <w:rsid w:val="00AC2094"/>
    <w:rsid w:val="00AC2231"/>
    <w:rsid w:val="00AC29DF"/>
    <w:rsid w:val="00AC364A"/>
    <w:rsid w:val="00AC3E82"/>
    <w:rsid w:val="00AC3F21"/>
    <w:rsid w:val="00AC4BE5"/>
    <w:rsid w:val="00AC4CEA"/>
    <w:rsid w:val="00AC4DE2"/>
    <w:rsid w:val="00AC4E8F"/>
    <w:rsid w:val="00AC54FD"/>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2B0"/>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A7"/>
    <w:rsid w:val="00B10430"/>
    <w:rsid w:val="00B136CD"/>
    <w:rsid w:val="00B13765"/>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1C4"/>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2B48"/>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57C"/>
    <w:rsid w:val="00B77775"/>
    <w:rsid w:val="00B77B67"/>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75D"/>
    <w:rsid w:val="00BB090F"/>
    <w:rsid w:val="00BB099D"/>
    <w:rsid w:val="00BB09C7"/>
    <w:rsid w:val="00BB0BB0"/>
    <w:rsid w:val="00BB0F12"/>
    <w:rsid w:val="00BB115A"/>
    <w:rsid w:val="00BB25EF"/>
    <w:rsid w:val="00BB29DF"/>
    <w:rsid w:val="00BB2E81"/>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45D9"/>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0C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7A88"/>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89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074"/>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A3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0ABB"/>
    <w:rsid w:val="00C7113E"/>
    <w:rsid w:val="00C711A8"/>
    <w:rsid w:val="00C713D8"/>
    <w:rsid w:val="00C71435"/>
    <w:rsid w:val="00C714D9"/>
    <w:rsid w:val="00C728F4"/>
    <w:rsid w:val="00C72968"/>
    <w:rsid w:val="00C72C9B"/>
    <w:rsid w:val="00C730AF"/>
    <w:rsid w:val="00C73FC5"/>
    <w:rsid w:val="00C74734"/>
    <w:rsid w:val="00C7499C"/>
    <w:rsid w:val="00C74B26"/>
    <w:rsid w:val="00C76119"/>
    <w:rsid w:val="00C761F2"/>
    <w:rsid w:val="00C764C7"/>
    <w:rsid w:val="00C764DF"/>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9A5"/>
    <w:rsid w:val="00C92EFF"/>
    <w:rsid w:val="00C9338F"/>
    <w:rsid w:val="00C93DB7"/>
    <w:rsid w:val="00C93EAF"/>
    <w:rsid w:val="00C941E0"/>
    <w:rsid w:val="00C95087"/>
    <w:rsid w:val="00C95CC9"/>
    <w:rsid w:val="00C965CD"/>
    <w:rsid w:val="00C96B6A"/>
    <w:rsid w:val="00C96D9F"/>
    <w:rsid w:val="00C96FB9"/>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6E55"/>
    <w:rsid w:val="00CA7231"/>
    <w:rsid w:val="00CA74E2"/>
    <w:rsid w:val="00CA7763"/>
    <w:rsid w:val="00CB0525"/>
    <w:rsid w:val="00CB0C82"/>
    <w:rsid w:val="00CB15DB"/>
    <w:rsid w:val="00CB21BC"/>
    <w:rsid w:val="00CB23A6"/>
    <w:rsid w:val="00CB2EC3"/>
    <w:rsid w:val="00CB329B"/>
    <w:rsid w:val="00CB3FEB"/>
    <w:rsid w:val="00CB4135"/>
    <w:rsid w:val="00CB4617"/>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465"/>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6DA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8EF"/>
    <w:rsid w:val="00CF40DF"/>
    <w:rsid w:val="00CF42E4"/>
    <w:rsid w:val="00CF4471"/>
    <w:rsid w:val="00CF46BC"/>
    <w:rsid w:val="00CF4706"/>
    <w:rsid w:val="00CF479A"/>
    <w:rsid w:val="00CF4EF7"/>
    <w:rsid w:val="00CF59EF"/>
    <w:rsid w:val="00CF5C19"/>
    <w:rsid w:val="00CF6647"/>
    <w:rsid w:val="00CF66EC"/>
    <w:rsid w:val="00CF6834"/>
    <w:rsid w:val="00CF6DF8"/>
    <w:rsid w:val="00CF6ED5"/>
    <w:rsid w:val="00CF7117"/>
    <w:rsid w:val="00CF76FD"/>
    <w:rsid w:val="00CF790D"/>
    <w:rsid w:val="00CF7F66"/>
    <w:rsid w:val="00D00002"/>
    <w:rsid w:val="00D01488"/>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44C4"/>
    <w:rsid w:val="00D15566"/>
    <w:rsid w:val="00D15E43"/>
    <w:rsid w:val="00D16319"/>
    <w:rsid w:val="00D16741"/>
    <w:rsid w:val="00D16CAA"/>
    <w:rsid w:val="00D16D4C"/>
    <w:rsid w:val="00D16E2D"/>
    <w:rsid w:val="00D208A0"/>
    <w:rsid w:val="00D20EFD"/>
    <w:rsid w:val="00D210CC"/>
    <w:rsid w:val="00D223A5"/>
    <w:rsid w:val="00D23009"/>
    <w:rsid w:val="00D23582"/>
    <w:rsid w:val="00D235F9"/>
    <w:rsid w:val="00D2370E"/>
    <w:rsid w:val="00D23CBB"/>
    <w:rsid w:val="00D2507F"/>
    <w:rsid w:val="00D25598"/>
    <w:rsid w:val="00D25B58"/>
    <w:rsid w:val="00D25F1D"/>
    <w:rsid w:val="00D27138"/>
    <w:rsid w:val="00D271BF"/>
    <w:rsid w:val="00D276A2"/>
    <w:rsid w:val="00D276AC"/>
    <w:rsid w:val="00D27814"/>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19D"/>
    <w:rsid w:val="00D65998"/>
    <w:rsid w:val="00D67274"/>
    <w:rsid w:val="00D6773A"/>
    <w:rsid w:val="00D679E1"/>
    <w:rsid w:val="00D70A7D"/>
    <w:rsid w:val="00D70CF5"/>
    <w:rsid w:val="00D70D32"/>
    <w:rsid w:val="00D70D88"/>
    <w:rsid w:val="00D711A7"/>
    <w:rsid w:val="00D714CA"/>
    <w:rsid w:val="00D71733"/>
    <w:rsid w:val="00D72A83"/>
    <w:rsid w:val="00D7300D"/>
    <w:rsid w:val="00D73437"/>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006"/>
    <w:rsid w:val="00DA024F"/>
    <w:rsid w:val="00DA0451"/>
    <w:rsid w:val="00DA07E7"/>
    <w:rsid w:val="00DA0907"/>
    <w:rsid w:val="00DA0F29"/>
    <w:rsid w:val="00DA18E5"/>
    <w:rsid w:val="00DA1DEE"/>
    <w:rsid w:val="00DA28A7"/>
    <w:rsid w:val="00DA2BD9"/>
    <w:rsid w:val="00DA2FA2"/>
    <w:rsid w:val="00DA302C"/>
    <w:rsid w:val="00DA3F57"/>
    <w:rsid w:val="00DA431F"/>
    <w:rsid w:val="00DA43F5"/>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3B7"/>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0AE"/>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2230"/>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0FDA"/>
    <w:rsid w:val="00E8101D"/>
    <w:rsid w:val="00E81734"/>
    <w:rsid w:val="00E81945"/>
    <w:rsid w:val="00E823BF"/>
    <w:rsid w:val="00E82733"/>
    <w:rsid w:val="00E82750"/>
    <w:rsid w:val="00E82791"/>
    <w:rsid w:val="00E82911"/>
    <w:rsid w:val="00E8307B"/>
    <w:rsid w:val="00E837FB"/>
    <w:rsid w:val="00E83B9A"/>
    <w:rsid w:val="00E83D0C"/>
    <w:rsid w:val="00E84758"/>
    <w:rsid w:val="00E8488A"/>
    <w:rsid w:val="00E84906"/>
    <w:rsid w:val="00E8497C"/>
    <w:rsid w:val="00E84A9F"/>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82A"/>
    <w:rsid w:val="00EC7F70"/>
    <w:rsid w:val="00ED0094"/>
    <w:rsid w:val="00ED0594"/>
    <w:rsid w:val="00ED0970"/>
    <w:rsid w:val="00ED0B28"/>
    <w:rsid w:val="00ED1DBD"/>
    <w:rsid w:val="00ED1E47"/>
    <w:rsid w:val="00ED2FC6"/>
    <w:rsid w:val="00ED329B"/>
    <w:rsid w:val="00ED3EEA"/>
    <w:rsid w:val="00ED3FDA"/>
    <w:rsid w:val="00ED40AE"/>
    <w:rsid w:val="00ED5190"/>
    <w:rsid w:val="00ED557B"/>
    <w:rsid w:val="00ED5601"/>
    <w:rsid w:val="00ED56C9"/>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75A"/>
    <w:rsid w:val="00EE3D3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3C9"/>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3F5F"/>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5C1"/>
    <w:rsid w:val="00F81916"/>
    <w:rsid w:val="00F82144"/>
    <w:rsid w:val="00F82C5F"/>
    <w:rsid w:val="00F83372"/>
    <w:rsid w:val="00F834FA"/>
    <w:rsid w:val="00F837A6"/>
    <w:rsid w:val="00F83AD5"/>
    <w:rsid w:val="00F83D7F"/>
    <w:rsid w:val="00F84467"/>
    <w:rsid w:val="00F845F7"/>
    <w:rsid w:val="00F86208"/>
    <w:rsid w:val="00F865A4"/>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A9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546D"/>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2C"/>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605"/>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E48E6-9C10-4B98-9FBB-A474BA78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3002</Words>
  <Characters>17112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Panasonic</cp:lastModifiedBy>
  <cp:revision>2</cp:revision>
  <cp:lastPrinted>2010-04-02T09:58:00Z</cp:lastPrinted>
  <dcterms:created xsi:type="dcterms:W3CDTF">2019-03-29T04:49:00Z</dcterms:created>
  <dcterms:modified xsi:type="dcterms:W3CDTF">2019-03-29T04:49:00Z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